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Midwest Strategy</w:t>
      </w:r>
    </w:p>
    <w:p>
      <w:pPr>
        <w:pStyle w:val="Normal"/>
        <w:jc w:val="center"/>
        <w:rPr/>
      </w:pPr>
      <w:r>
        <w:rPr/>
      </w:r>
    </w:p>
    <w:p>
      <w:pPr>
        <w:pStyle w:val="Normal"/>
        <w:jc w:val="center"/>
        <w:rPr/>
      </w:pPr>
      <w:r>
        <w:rPr/>
      </w:r>
    </w:p>
    <w:p>
      <w:pPr>
        <w:pStyle w:val="Normal"/>
        <w:rPr/>
      </w:pPr>
      <w:r>
        <w:rPr/>
        <w:t>Four filings were made at FERC last week in the Alliance and MISO RTO proceedings. The four filings of last week open the opportunity for the FERC to implement its new vision of a single Midwest RTO.  Enron should file comments/protests in each of these proceedings showing how the two RTO settlement process has failed for the MW.  The mainstay of the settlement was the Interregional Coordination Agreement (IRCA), basically a very general document that purported to commit the two RTOs to work on seams agreements.  This approach failed to produce sufficient results to assure that the RTOs when operational could allow a seamless market in the Midwest.</w:t>
      </w:r>
    </w:p>
    <w:p>
      <w:pPr>
        <w:pStyle w:val="Normal"/>
        <w:rPr/>
      </w:pPr>
      <w:r>
        <w:rPr/>
      </w:r>
    </w:p>
    <w:p>
      <w:pPr>
        <w:pStyle w:val="Normal"/>
        <w:rPr/>
      </w:pPr>
      <w:r>
        <w:rPr/>
        <w:t xml:space="preserve">The FERC recently required the three Northeast ISOs to meet in order to combine into a single NE RTO.  It was recognized that the significant attempts by the existing Northeast ISOs, including many meetings, many protocols and documents on websites also failed to result in a single seamless Northeast market.  </w:t>
      </w:r>
    </w:p>
    <w:p>
      <w:pPr>
        <w:pStyle w:val="Normal"/>
        <w:rPr/>
      </w:pPr>
      <w:r>
        <w:rPr/>
      </w:r>
    </w:p>
    <w:p>
      <w:pPr>
        <w:pStyle w:val="Normal"/>
        <w:rPr/>
      </w:pPr>
      <w:r>
        <w:rPr/>
        <w:t>Enron should file protests/comments in the ARTO and MISO compliance filings made to FERC on 8/31/01, asking that the Commission require further proceedings (mediation, settlement conference or staff technical conference ???) to establish a single MW RTO.</w:t>
      </w:r>
    </w:p>
    <w:p>
      <w:pPr>
        <w:pStyle w:val="Normal"/>
        <w:rPr/>
      </w:pPr>
      <w:r>
        <w:rPr/>
      </w:r>
    </w:p>
    <w:p>
      <w:pPr>
        <w:pStyle w:val="Normal"/>
        <w:rPr/>
      </w:pPr>
      <w:r>
        <w:rPr/>
      </w:r>
    </w:p>
    <w:p>
      <w:pPr>
        <w:pStyle w:val="Normal"/>
        <w:rPr/>
      </w:pPr>
      <w:r>
        <w:rPr/>
        <w:t>Arguments should include:</w:t>
      </w:r>
    </w:p>
    <w:p>
      <w:pPr>
        <w:pStyle w:val="Normal"/>
        <w:numPr>
          <w:ilvl w:val="0"/>
          <w:numId w:val="3"/>
        </w:numPr>
        <w:rPr/>
      </w:pPr>
      <w:r>
        <w:rPr/>
        <w:t>MISO filed practically an invitation to this kind of response; indicating that the configuration is not ideal and is dependent on the timely and effective implementation of the IRCA.  MISO made no showing that the IRCA has resulted in common practices and protocols that would lead to a seamless MW market</w:t>
      </w:r>
    </w:p>
    <w:p>
      <w:pPr>
        <w:pStyle w:val="Normal"/>
        <w:numPr>
          <w:ilvl w:val="0"/>
          <w:numId w:val="3"/>
        </w:numPr>
        <w:rPr/>
      </w:pPr>
      <w:r>
        <w:rPr/>
        <w:t>MISO scope is still evolving as they add TOs to the West.  Now is the appropriate time to work to combine the ARTO and MISO</w:t>
      </w:r>
    </w:p>
    <w:p>
      <w:pPr>
        <w:pStyle w:val="Normal"/>
        <w:numPr>
          <w:ilvl w:val="0"/>
          <w:numId w:val="3"/>
        </w:numPr>
        <w:rPr/>
      </w:pPr>
      <w:r>
        <w:rPr/>
        <w:t>Discussions should also include SPP which has indicated an interest in working with the other organizations in the MW</w:t>
      </w:r>
    </w:p>
    <w:p>
      <w:pPr>
        <w:pStyle w:val="Normal"/>
        <w:numPr>
          <w:ilvl w:val="0"/>
          <w:numId w:val="3"/>
        </w:numPr>
        <w:rPr/>
      </w:pPr>
      <w:r>
        <w:rPr/>
        <w:t>Detroit Edison has announced that it leaving the ARTO and joining the MISO – will others potentially follow?  Dominion also has not signed on to the Alliance business plan with NG as managing member.</w:t>
      </w:r>
    </w:p>
    <w:p>
      <w:pPr>
        <w:pStyle w:val="Normal"/>
        <w:numPr>
          <w:ilvl w:val="0"/>
          <w:numId w:val="3"/>
        </w:numPr>
        <w:rPr/>
      </w:pPr>
      <w:r>
        <w:rPr/>
        <w:t>We will need to review the ARTO filing when we get it.  Though filed on 8/31, it is not yet posted on the Alliance website or RIMS</w:t>
      </w:r>
    </w:p>
    <w:p>
      <w:pPr>
        <w:pStyle w:val="Normal"/>
        <w:numPr>
          <w:ilvl w:val="0"/>
          <w:numId w:val="3"/>
        </w:numPr>
        <w:rPr/>
      </w:pPr>
      <w:r>
        <w:rPr/>
        <w:t xml:space="preserve">Most critical to the ARTO filing will be looking for all actions related to the IRCA.  No stakeholders’ process has been established; in fact when ARTO initiated one, it fell apart due to issues raised about discrimination and FERC staff is trying to mediate a resolution.  With no stakeholder advisory group, there has been no stakeholder input on the seams issues or any IRCA work process.  </w:t>
      </w:r>
    </w:p>
    <w:p>
      <w:pPr>
        <w:pStyle w:val="Normal"/>
        <w:numPr>
          <w:ilvl w:val="0"/>
          <w:numId w:val="3"/>
        </w:numPr>
        <w:rPr/>
      </w:pPr>
      <w:r>
        <w:rPr/>
        <w:t>The FERC’s July 12 order required ARTO to immediately establish an independent board, but ARTO has made only a halfhearted attempt to propose an unacceptable 3 person board (heavily weighted with TO input) and has filed a request for rehearing indicating that they believe the filing made to establish NG as managing member to be responsive.</w:t>
      </w:r>
    </w:p>
    <w:p>
      <w:pPr>
        <w:pStyle w:val="Normal"/>
        <w:ind w:start="1440" w:end="0"/>
        <w:rPr/>
      </w:pPr>
      <w:r>
        <w:rPr/>
      </w:r>
    </w:p>
    <w:p>
      <w:pPr>
        <w:pStyle w:val="Normal"/>
        <w:rPr/>
      </w:pPr>
      <w:r>
        <w:rPr/>
        <w:t>Enron should also file protests/comments in response to the filings regarding the Alliance business plan and establishing National Grid as the Managing Member of ARTO.</w:t>
      </w:r>
    </w:p>
    <w:p>
      <w:pPr>
        <w:pStyle w:val="Normal"/>
        <w:numPr>
          <w:ilvl w:val="0"/>
          <w:numId w:val="6"/>
        </w:numPr>
        <w:rPr/>
      </w:pPr>
      <w:r>
        <w:rPr/>
        <w:t>Establishment of a managing member of ARTO is premature since the proper scope of the MW RTO needs to be set.</w:t>
      </w:r>
    </w:p>
    <w:p>
      <w:pPr>
        <w:pStyle w:val="Normal"/>
        <w:numPr>
          <w:ilvl w:val="0"/>
          <w:numId w:val="6"/>
        </w:numPr>
        <w:rPr/>
      </w:pPr>
      <w:r>
        <w:rPr/>
        <w:t>A current Alliance TO, Detroit Edison is challenging the independence of National Grid from the MW market – that issue needs further scrutiny.  Though NG commits to outsource its remaining generation and distribution obligations, they have not finalized that process.</w:t>
      </w:r>
    </w:p>
    <w:p>
      <w:pPr>
        <w:pStyle w:val="Normal"/>
        <w:numPr>
          <w:ilvl w:val="0"/>
          <w:numId w:val="6"/>
        </w:numPr>
        <w:rPr/>
      </w:pPr>
      <w:r>
        <w:rPr/>
        <w:t>Another Alliance TO, Dominion also has not yet signed its Letter of Intent with NG</w:t>
      </w:r>
    </w:p>
    <w:p>
      <w:pPr>
        <w:pStyle w:val="Normal"/>
        <w:numPr>
          <w:ilvl w:val="0"/>
          <w:numId w:val="6"/>
        </w:numPr>
        <w:rPr/>
      </w:pPr>
      <w:r>
        <w:rPr/>
        <w:t>Another aspect of the ARTO business plan filing is a halfhearted proposal to establish an interim board of 3 persons.  The TOs would chose the first member, the advisory group a second member and those two members would choose a third.  No advisory group has been established.  This weighting would give greater control to the TOs.  The July 12 order required ARTO to immediately set up an independent board to make the current decisions and filings.</w:t>
      </w:r>
    </w:p>
    <w:p>
      <w:pPr>
        <w:pStyle w:val="Normal"/>
        <w:rPr/>
      </w:pPr>
      <w:r>
        <w:rPr/>
      </w:r>
    </w:p>
    <w:p>
      <w:pPr>
        <w:pStyle w:val="Normal"/>
        <w:rPr/>
      </w:pPr>
      <w:r>
        <w:rPr/>
      </w:r>
    </w:p>
    <w:p>
      <w:pPr>
        <w:pStyle w:val="Normal"/>
        <w:rPr/>
      </w:pPr>
      <w:r>
        <w:rPr/>
      </w:r>
    </w:p>
    <w:p>
      <w:pPr>
        <w:pStyle w:val="Normal"/>
        <w:rPr/>
      </w:pPr>
      <w:r>
        <w:rPr/>
      </w:r>
    </w:p>
    <w:p>
      <w:pPr>
        <w:pStyle w:val="Normal"/>
        <w:rPr/>
      </w:pPr>
      <w:r>
        <w:rPr/>
        <w:t>Summary of Recent filings</w:t>
      </w:r>
    </w:p>
    <w:p>
      <w:pPr>
        <w:pStyle w:val="Normal"/>
        <w:numPr>
          <w:ilvl w:val="0"/>
          <w:numId w:val="4"/>
        </w:numPr>
        <w:rPr/>
      </w:pPr>
      <w:r>
        <w:rPr/>
        <w:t xml:space="preserve">Alliance Business plan (filed 8/27, comments due 9/17)  </w:t>
      </w:r>
    </w:p>
    <w:p>
      <w:pPr>
        <w:pStyle w:val="Normal"/>
        <w:numPr>
          <w:ilvl w:val="1"/>
          <w:numId w:val="4"/>
        </w:numPr>
        <w:rPr/>
      </w:pPr>
      <w:r>
        <w:rPr/>
        <w:t>To establish National Grid as managing member to invest/manage/operate transmission facilities for initial term of 7 years (subject to removal if FERC finds no longer non-market participant or for cause)</w:t>
      </w:r>
    </w:p>
    <w:p>
      <w:pPr>
        <w:pStyle w:val="Normal"/>
        <w:numPr>
          <w:ilvl w:val="1"/>
          <w:numId w:val="4"/>
        </w:numPr>
        <w:rPr/>
      </w:pPr>
      <w:r>
        <w:rPr/>
        <w:t>Commonwealth Ed declared intent to divest over $1 billion of assets to ARTO</w:t>
      </w:r>
    </w:p>
    <w:p>
      <w:pPr>
        <w:pStyle w:val="Normal"/>
        <w:numPr>
          <w:ilvl w:val="1"/>
          <w:numId w:val="4"/>
        </w:numPr>
        <w:rPr/>
      </w:pPr>
      <w:r>
        <w:rPr/>
        <w:t>All other Alliance TOs have put right to contribute transmission facilities to Transco through 12/31/07</w:t>
      </w:r>
    </w:p>
    <w:p>
      <w:pPr>
        <w:pStyle w:val="Normal"/>
        <w:numPr>
          <w:ilvl w:val="1"/>
          <w:numId w:val="4"/>
        </w:numPr>
        <w:rPr/>
      </w:pPr>
      <w:r>
        <w:rPr/>
        <w:t>All nondivesting TOs will sign operational agreements with managing member</w:t>
      </w:r>
    </w:p>
    <w:p>
      <w:pPr>
        <w:pStyle w:val="Normal"/>
        <w:numPr>
          <w:ilvl w:val="1"/>
          <w:numId w:val="4"/>
        </w:numPr>
        <w:rPr/>
      </w:pPr>
      <w:r>
        <w:rPr/>
        <w:t>National Grid will be paid $14 million annually (adjusted by price index) plus performance incentives</w:t>
      </w:r>
    </w:p>
    <w:p>
      <w:pPr>
        <w:pStyle w:val="Normal"/>
        <w:numPr>
          <w:ilvl w:val="1"/>
          <w:numId w:val="4"/>
        </w:numPr>
        <w:rPr/>
      </w:pPr>
      <w:r>
        <w:rPr/>
        <w:t>Possibility of IPO after 3 years</w:t>
      </w:r>
    </w:p>
    <w:p>
      <w:pPr>
        <w:pStyle w:val="Normal"/>
        <w:numPr>
          <w:ilvl w:val="1"/>
          <w:numId w:val="4"/>
        </w:numPr>
        <w:rPr/>
      </w:pPr>
      <w:r>
        <w:rPr/>
        <w:t>Two kinds of membership interests – voting for non-market participants and nonvoting for market participants</w:t>
      </w:r>
    </w:p>
    <w:p>
      <w:pPr>
        <w:pStyle w:val="Normal"/>
        <w:numPr>
          <w:ilvl w:val="1"/>
          <w:numId w:val="4"/>
        </w:numPr>
        <w:rPr/>
      </w:pPr>
      <w:r>
        <w:rPr/>
        <w:t>To establish interim board of three persons, one chosen by TOs, one by Advisory Board (not yet established) and last member chosen by the first two members.  (Note: ARTO has also requested rehearing/clarification about the independent board requirement asking that the establishment of managing member is sufficient)</w:t>
      </w:r>
    </w:p>
    <w:p>
      <w:pPr>
        <w:pStyle w:val="Normal"/>
        <w:rPr/>
      </w:pPr>
      <w:r>
        <w:rPr/>
      </w:r>
    </w:p>
    <w:p>
      <w:pPr>
        <w:pStyle w:val="Normal"/>
        <w:ind w:start="360" w:end="0"/>
        <w:rPr/>
      </w:pPr>
      <w:r>
        <w:rPr/>
        <w:t>2.  ARTO compliance filing (filed 8/31, comments due?)</w:t>
      </w:r>
    </w:p>
    <w:p>
      <w:pPr>
        <w:pStyle w:val="Normal"/>
        <w:numPr>
          <w:ilvl w:val="0"/>
          <w:numId w:val="5"/>
        </w:numPr>
        <w:rPr/>
      </w:pPr>
      <w:r>
        <w:rPr/>
      </w:r>
    </w:p>
    <w:p>
      <w:pPr>
        <w:pStyle w:val="Normal"/>
        <w:rPr/>
      </w:pPr>
      <w:r>
        <w:rPr/>
      </w:r>
    </w:p>
    <w:p>
      <w:pPr>
        <w:pStyle w:val="Normal"/>
        <w:numPr>
          <w:ilvl w:val="0"/>
          <w:numId w:val="2"/>
        </w:numPr>
        <w:rPr/>
      </w:pPr>
      <w:r>
        <w:rPr/>
        <w:t xml:space="preserve"> </w:t>
      </w:r>
      <w:r>
        <w:rPr/>
        <w:t>MISO compliance filing (filed 8/31, comments due ?)</w:t>
      </w:r>
    </w:p>
    <w:p>
      <w:pPr>
        <w:pStyle w:val="Normal"/>
        <w:numPr>
          <w:ilvl w:val="0"/>
          <w:numId w:val="1"/>
        </w:numPr>
        <w:rPr/>
      </w:pPr>
      <w:r>
        <w:rPr/>
        <w:t>Goes through the Order 2000 characteristics and minimum functions to purportedly show how the MISO complies</w:t>
      </w:r>
    </w:p>
    <w:p>
      <w:pPr>
        <w:pStyle w:val="Normal"/>
        <w:numPr>
          <w:ilvl w:val="0"/>
          <w:numId w:val="1"/>
        </w:numPr>
        <w:rPr/>
      </w:pPr>
      <w:r>
        <w:rPr/>
        <w:t>Focus is on scope and configuration showing expansion to the West with the addition of several MAPP TOs and the possible expansion to the South if agreements are reached with SPP</w:t>
      </w:r>
    </w:p>
    <w:p>
      <w:pPr>
        <w:pStyle w:val="Normal"/>
        <w:numPr>
          <w:ilvl w:val="0"/>
          <w:numId w:val="1"/>
        </w:numPr>
        <w:rPr/>
      </w:pPr>
      <w:r>
        <w:rPr/>
        <w:t>MISO claims that the southern seam is “still evolving”.</w:t>
      </w:r>
    </w:p>
    <w:p>
      <w:pPr>
        <w:pStyle w:val="Normal"/>
        <w:numPr>
          <w:ilvl w:val="0"/>
          <w:numId w:val="1"/>
        </w:numPr>
        <w:rPr/>
      </w:pPr>
      <w:r>
        <w:rPr/>
        <w:t>MISO offers an affidavit by economists Fox-Penner and Pfeifenberger that claims a “reasonable scope” and physical configuration that is “not ideal”.  The adequacy of the scope and configuration lies with the IRCA.  MISO claims that the IRCA is appropriately targeted, but does not point to any agreements so far.</w:t>
      </w:r>
    </w:p>
    <w:p>
      <w:pPr>
        <w:pStyle w:val="Normal"/>
        <w:ind w:start="360" w:end="0"/>
        <w:rPr/>
      </w:pPr>
      <w:r>
        <w:rPr/>
      </w:r>
    </w:p>
    <w:p>
      <w:pPr>
        <w:pStyle w:val="Normal"/>
        <w:numPr>
          <w:ilvl w:val="0"/>
          <w:numId w:val="2"/>
        </w:numPr>
        <w:rPr/>
      </w:pPr>
      <w:r>
        <w:rPr/>
        <w:t>National Grid supplemental filing  (filed 8/27, comments due ?)</w:t>
      </w:r>
    </w:p>
    <w:p>
      <w:pPr>
        <w:pStyle w:val="Normal"/>
        <w:numPr>
          <w:ilvl w:val="1"/>
          <w:numId w:val="2"/>
        </w:numPr>
        <w:rPr/>
      </w:pPr>
      <w:r>
        <w:rPr/>
        <w:t>Compliance filing after 7/26/01order to show independence of National Grid from Midwest (ARTO) market in order to qualify as managing member of Alliance</w:t>
      </w:r>
    </w:p>
    <w:p>
      <w:pPr>
        <w:pStyle w:val="Normal"/>
        <w:numPr>
          <w:ilvl w:val="1"/>
          <w:numId w:val="2"/>
        </w:numPr>
        <w:rPr/>
      </w:pPr>
      <w:r>
        <w:rPr/>
        <w:t>Enron had filed comments on the original filing asking for further showing of National Grid’s independence from the market, especially in relation to remaining generation and provider of last resort functions.  FERC order of 7/26 agreed and allowed NG to supplement its filing</w:t>
      </w:r>
    </w:p>
    <w:p>
      <w:pPr>
        <w:pStyle w:val="Normal"/>
        <w:numPr>
          <w:ilvl w:val="1"/>
          <w:numId w:val="2"/>
        </w:numPr>
        <w:rPr/>
      </w:pPr>
      <w:r>
        <w:rPr/>
        <w:t>NG claims that it has outsourced to third parties the supply obligations for last resort sales</w:t>
      </w:r>
    </w:p>
    <w:p>
      <w:pPr>
        <w:pStyle w:val="Normal"/>
        <w:numPr>
          <w:ilvl w:val="1"/>
          <w:numId w:val="2"/>
        </w:numPr>
        <w:rPr/>
      </w:pPr>
      <w:r>
        <w:rPr/>
        <w:t>Remaining NEP last resort obligation in RI (about 205 MW) will be transferred to third party on or before Alliance operation date.</w:t>
      </w:r>
    </w:p>
    <w:p>
      <w:pPr>
        <w:pStyle w:val="Normal"/>
        <w:numPr>
          <w:ilvl w:val="1"/>
          <w:numId w:val="2"/>
        </w:numPr>
        <w:rPr/>
      </w:pPr>
      <w:r>
        <w:rPr/>
        <w:t>Niagara Mohawk is not yet acquired, but NG proposes that it will implement a tariff to pass through to retail customers all costs/revenues.  The Tractebel transaction is meant to outsource all Niagara Mohawk sales obligations; Tractebel is responsible for matching supply with load, scheduling and delivery.</w:t>
      </w:r>
    </w:p>
    <w:p>
      <w:pPr>
        <w:pStyle w:val="Normal"/>
        <w:numPr>
          <w:ilvl w:val="1"/>
          <w:numId w:val="2"/>
        </w:numPr>
        <w:rPr/>
      </w:pPr>
      <w:r>
        <w:rPr/>
        <w:t>Remaining generation of Niagara Mohawk is due to be sold</w:t>
      </w:r>
    </w:p>
    <w:p>
      <w:pPr>
        <w:pStyle w:val="Normal"/>
        <w:numPr>
          <w:ilvl w:val="1"/>
          <w:numId w:val="2"/>
        </w:numPr>
        <w:rPr/>
      </w:pPr>
      <w:r>
        <w:rPr/>
        <w:t>Niagara Mohawk has power marketing interests which are announced to be for sale but if not sold by the Alliance operation date, NG will establish a mechanism to assure it has no commercial interest</w:t>
      </w:r>
    </w:p>
    <w:p>
      <w:pPr>
        <w:pStyle w:val="Normal"/>
        <w:numPr>
          <w:ilvl w:val="1"/>
          <w:numId w:val="2"/>
        </w:numPr>
        <w:rPr/>
      </w:pPr>
      <w:r>
        <w:rPr/>
        <w:t>Finally, NG is establishing a separate special purpose subsidiary to act as managing member of the ARTO.  The subsidiary will report directly to the CEO of National Grid USA and National Grid’s management of ARTO will be corporately separate from all other operating companies.</w:t>
      </w:r>
    </w:p>
    <w:p>
      <w:pPr>
        <w:pStyle w:val="Normal"/>
        <w:rPr/>
      </w:pPr>
      <w:r>
        <w:rPr/>
      </w:r>
    </w:p>
    <w:p>
      <w:pPr>
        <w:pStyle w:val="BodyTextIndent"/>
        <w:numPr>
          <w:ilvl w:val="0"/>
          <w:numId w:val="2"/>
        </w:numPr>
        <w:rPr/>
      </w:pPr>
      <w:r>
        <w:rPr/>
        <w:t xml:space="preserve"> </w:t>
      </w:r>
      <w:r>
        <w:rPr/>
        <w:t>Rehearings filed 8/13/01 to the 7/12 order accepting the ARTO compliance filing</w:t>
      </w:r>
    </w:p>
    <w:p>
      <w:pPr>
        <w:pStyle w:val="Normal"/>
        <w:numPr>
          <w:ilvl w:val="0"/>
          <w:numId w:val="3"/>
        </w:numPr>
        <w:rPr/>
      </w:pPr>
      <w:r>
        <w:rPr/>
        <w:t xml:space="preserve">Two rehearing requests were filed by the State Commissioners (IL, MI, IN, PA, OH) and by the Industrials/Consumers Counsels asking that the FERC implement its new policy to have a single MW RTO by initiating mediation for the MW.  The requests claim that the ARTO/MISO settlement has not been implemented as envisioned.  </w:t>
      </w:r>
    </w:p>
    <w:p>
      <w:pPr>
        <w:pStyle w:val="Normal"/>
        <w:rPr/>
      </w:pPr>
      <w:r>
        <w:rPr/>
      </w:r>
    </w:p>
    <w:p>
      <w:pPr>
        <w:pStyle w:val="Normal"/>
        <w:ind w:start="720" w:end="0"/>
        <w:rPr/>
      </w:pPr>
      <w:r>
        <w:rPr/>
        <w:t>6.  Request for Mediation filed by Industrials on 8/31/01</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1080"/>
        </w:tabs>
        <w:ind w:start="1080" w:hanging="360"/>
      </w:pPr>
      <w:rPr>
        <w:rFonts w:ascii="Symbol" w:hAnsi="Symbol" w:cs="Symbol" w:hint="default"/>
      </w:rPr>
    </w:lvl>
  </w:abstractNum>
  <w:abstractNum w:abstractNumId="2">
    <w:lvl w:ilvl="0">
      <w:start w:val="3"/>
      <w:numFmt w:val="decimal"/>
      <w:lvlText w:val="%1."/>
      <w:lvlJc w:val="start"/>
      <w:pPr>
        <w:tabs>
          <w:tab w:val="num" w:pos="720"/>
        </w:tabs>
        <w:ind w:start="720" w:hanging="360"/>
      </w:pPr>
      <w:rPr/>
    </w:lvl>
    <w:lvl w:ilvl="1">
      <w:start w:val="1"/>
      <w:numFmt w:val="bullet"/>
      <w:lvlText w:val=""/>
      <w:lvlJc w:val="start"/>
      <w:pPr>
        <w:tabs>
          <w:tab w:val="num" w:pos="1440"/>
        </w:tabs>
        <w:ind w:start="1440" w:hanging="360"/>
      </w:pPr>
      <w:rPr>
        <w:rFonts w:ascii="Symbol" w:hAnsi="Symbol" w:cs="Symbol" w:hint="default"/>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bullet"/>
      <w:lvlText w:val=""/>
      <w:lvlJc w:val="start"/>
      <w:pPr>
        <w:tabs>
          <w:tab w:val="num" w:pos="1800"/>
        </w:tabs>
        <w:ind w:start="1800" w:hanging="360"/>
      </w:pPr>
      <w:rPr>
        <w:rFonts w:ascii="Symbol" w:hAnsi="Symbol" w:cs="Symbol" w:hint="default"/>
      </w:rPr>
    </w:lvl>
  </w:abstractNum>
  <w:abstractNum w:abstractNumId="4">
    <w:lvl w:ilvl="0">
      <w:start w:val="1"/>
      <w:numFmt w:val="decimal"/>
      <w:lvlText w:val="%1."/>
      <w:lvlJc w:val="start"/>
      <w:pPr>
        <w:tabs>
          <w:tab w:val="num" w:pos="720"/>
        </w:tabs>
        <w:ind w:start="720" w:hanging="360"/>
      </w:pPr>
    </w:lvl>
    <w:lvl w:ilvl="1">
      <w:start w:val="1"/>
      <w:numFmt w:val="bullet"/>
      <w:lvlText w:val=""/>
      <w:lvlJc w:val="start"/>
      <w:pPr>
        <w:tabs>
          <w:tab w:val="num" w:pos="1440"/>
        </w:tabs>
        <w:ind w:start="1440" w:hanging="360"/>
      </w:pPr>
      <w:rPr>
        <w:rFonts w:ascii="Symbol" w:hAnsi="Symbol" w:cs="Symbol" w:hint="default"/>
      </w:rPr>
    </w:lvl>
    <w:lvl w:ilvl="2">
      <w:start w:val="1"/>
      <w:numFmt w:val="decimal"/>
      <w:lvlText w:val="%3."/>
      <w:lvlJc w:val="start"/>
      <w:pPr>
        <w:tabs>
          <w:tab w:val="num" w:pos="2340"/>
        </w:tabs>
        <w:ind w:start="2340" w:hanging="36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5">
    <w:lvl w:ilvl="0">
      <w:start w:val="1"/>
      <w:numFmt w:val="bullet"/>
      <w:lvlText w:val=""/>
      <w:lvlJc w:val="start"/>
      <w:pPr>
        <w:tabs>
          <w:tab w:val="num" w:pos="1080"/>
        </w:tabs>
        <w:ind w:start="1080" w:hanging="360"/>
      </w:pPr>
      <w:rPr>
        <w:rFonts w:ascii="Symbol" w:hAnsi="Symbol" w:cs="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5z1">
    <w:name w:val="WW8Num5z1"/>
    <w:qFormat/>
    <w:rPr>
      <w:rFonts w:ascii="Symbol" w:hAnsi="Symbol" w:cs="Symbol"/>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72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2001-09-05T11:55:00Z</dcterms:created>
  <dc:creator>dfulton8</dc:creator>
  <dc:description/>
  <dc:language>en-CA</dc:language>
  <cp:lastModifiedBy>dfulton8</cp:lastModifiedBy>
  <cp:lastPrinted>2001-09-05T14:53:00Z</cp:lastPrinted>
  <dcterms:modified xsi:type="dcterms:W3CDTF">2001-09-05T17:12:00Z</dcterms:modified>
  <cp:revision>12</cp:revision>
  <dc:subject/>
  <dc:title>Midwest Strategy</dc:title>
</cp:coreProperties>
</file>