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pPr>
      <w:r>
        <w:rPr/>
      </w:r>
    </w:p>
    <w:p>
      <w:pPr>
        <w:pStyle w:val="Normal"/>
        <w:rPr/>
      </w:pPr>
      <w:r>
        <w:rPr/>
      </w:r>
    </w:p>
    <w:p>
      <w:pPr>
        <w:pStyle w:val="Heading1"/>
        <w:ind w:hanging="0" w:start="0"/>
        <w:jc w:val="end"/>
        <w:rPr/>
      </w:pPr>
      <w:r>
        <w:rPr/>
      </w:r>
    </w:p>
    <w:p>
      <w:pPr>
        <w:pStyle w:val="Normal"/>
        <w:rPr>
          <w:sz w:val="24"/>
        </w:rPr>
      </w:pPr>
      <w:r>
        <w:rPr>
          <w:sz w:val="24"/>
        </w:rPr>
        <w:tab/>
        <w:tab/>
        <w:tab/>
        <w:t>(EnronOnline Letterhead)</w:t>
      </w:r>
    </w:p>
    <w:p>
      <w:pPr>
        <w:pStyle w:val="Heading1"/>
        <w:ind w:firstLine="720" w:start="3600" w:end="0"/>
        <w:jc w:val="center"/>
        <w:rPr/>
      </w:pPr>
      <w:r>
        <w:rPr/>
        <w:t>August __, 2000</w:t>
      </w:r>
    </w:p>
    <w:p>
      <w:pPr>
        <w:pStyle w:val="Heading1"/>
        <w:ind w:hanging="0" w:start="0"/>
        <w:rPr>
          <w:b/>
        </w:rPr>
      </w:pPr>
      <w:r>
        <w:rPr>
          <w:b/>
        </w:rPr>
      </w:r>
    </w:p>
    <w:p>
      <w:pPr>
        <w:pStyle w:val="Heading1"/>
        <w:ind w:hanging="0" w:start="0"/>
        <w:rPr>
          <w:b/>
        </w:rPr>
      </w:pPr>
      <w:r>
        <w:rPr>
          <w:b/>
        </w:rPr>
      </w:r>
    </w:p>
    <w:p>
      <w:pPr>
        <w:pStyle w:val="Normal"/>
        <w:rPr>
          <w:sz w:val="24"/>
        </w:rPr>
      </w:pPr>
      <w:r>
        <w:rPr>
          <w:sz w:val="24"/>
        </w:rPr>
        <w:t>Midland Cogeneration Venture Limited Partnership</w:t>
      </w:r>
    </w:p>
    <w:p>
      <w:pPr>
        <w:pStyle w:val="Normal"/>
        <w:rPr>
          <w:sz w:val="24"/>
        </w:rPr>
      </w:pPr>
      <w:r>
        <w:rPr>
          <w:sz w:val="24"/>
        </w:rPr>
        <w:t>100 Progress Place</w:t>
      </w:r>
    </w:p>
    <w:p>
      <w:pPr>
        <w:pStyle w:val="Normal"/>
        <w:rPr>
          <w:sz w:val="24"/>
        </w:rPr>
      </w:pPr>
      <w:r>
        <w:rPr>
          <w:sz w:val="24"/>
        </w:rPr>
        <w:t>Midland, Michigan  48640</w:t>
      </w:r>
    </w:p>
    <w:p>
      <w:pPr>
        <w:pStyle w:val="Normal"/>
        <w:rPr>
          <w:sz w:val="24"/>
        </w:rPr>
      </w:pPr>
      <w:r>
        <w:rPr>
          <w:sz w:val="24"/>
        </w:rPr>
      </w:r>
    </w:p>
    <w:p>
      <w:pPr>
        <w:pStyle w:val="Normal"/>
        <w:rPr>
          <w:sz w:val="24"/>
        </w:rPr>
      </w:pPr>
      <w:r>
        <w:rPr>
          <w:sz w:val="24"/>
        </w:rPr>
        <w:t>Attention: LeRoy Smith</w:t>
      </w:r>
    </w:p>
    <w:p>
      <w:pPr>
        <w:pStyle w:val="Normal"/>
        <w:rPr>
          <w:sz w:val="24"/>
        </w:rPr>
      </w:pPr>
      <w:r>
        <w:rPr>
          <w:sz w:val="24"/>
        </w:rPr>
      </w:r>
    </w:p>
    <w:p>
      <w:pPr>
        <w:pStyle w:val="Normal"/>
        <w:rPr>
          <w:sz w:val="24"/>
        </w:rPr>
      </w:pPr>
      <w:r>
        <w:rPr>
          <w:sz w:val="24"/>
        </w:rPr>
      </w:r>
    </w:p>
    <w:p>
      <w:pPr>
        <w:pStyle w:val="Normal"/>
        <w:rPr/>
      </w:pPr>
      <w:r>
        <w:rPr>
          <w:sz w:val="24"/>
        </w:rPr>
        <w:t xml:space="preserve">Re: </w:t>
      </w:r>
      <w:r>
        <w:rPr>
          <w:sz w:val="24"/>
          <w:u w:val="single"/>
        </w:rPr>
        <w:t>EnronOnline Electronic Trading Agreement</w:t>
      </w:r>
    </w:p>
    <w:p>
      <w:pPr>
        <w:pStyle w:val="Normal"/>
        <w:rPr>
          <w:sz w:val="24"/>
          <w:u w:val="single"/>
        </w:rPr>
      </w:pPr>
      <w:r>
        <w:rPr>
          <w:sz w:val="24"/>
          <w:u w:val="single"/>
        </w:rPr>
      </w:r>
    </w:p>
    <w:p>
      <w:pPr>
        <w:pStyle w:val="Normal"/>
        <w:rPr>
          <w:sz w:val="24"/>
        </w:rPr>
      </w:pPr>
      <w:r>
        <w:rPr>
          <w:sz w:val="24"/>
        </w:rPr>
        <w:t>Dear LeRoy:</w:t>
      </w:r>
    </w:p>
    <w:p>
      <w:pPr>
        <w:pStyle w:val="Normal"/>
        <w:rPr>
          <w:sz w:val="24"/>
        </w:rPr>
      </w:pPr>
      <w:r>
        <w:rPr>
          <w:sz w:val="24"/>
        </w:rPr>
      </w:r>
    </w:p>
    <w:p>
      <w:pPr>
        <w:pStyle w:val="BodyText2"/>
        <w:rPr/>
      </w:pPr>
      <w:r>
        <w:rPr/>
        <w:t>This letter will serve as our agreement to the following changes to the Electronic Trading Agreement (the “ETA”), which ETA must be accepted by Midland Cogeneration Venture Limited Partnership (the “Counterparty”) on the EnronOnline web site before using the site for trading:</w:t>
      </w:r>
    </w:p>
    <w:p>
      <w:pPr>
        <w:pStyle w:val="Normal"/>
        <w:jc w:val="both"/>
        <w:rPr>
          <w:sz w:val="24"/>
        </w:rPr>
      </w:pPr>
      <w:r>
        <w:rPr>
          <w:sz w:val="24"/>
        </w:rPr>
      </w:r>
    </w:p>
    <w:p>
      <w:pPr>
        <w:pStyle w:val="Normal"/>
        <w:autoSpaceDE w:val="false"/>
        <w:spacing w:lineRule="atLeast" w:line="240"/>
        <w:jc w:val="both"/>
        <w:rPr/>
      </w:pPr>
      <w:r>
        <w:rPr>
          <w:sz w:val="24"/>
        </w:rPr>
        <w:t>1.</w:t>
      </w:r>
      <w:r>
        <w:rPr>
          <w:color w:val="000000"/>
          <w:sz w:val="24"/>
        </w:rPr>
        <w:t xml:space="preserve">  Each of EnronOnline, LLC and/or its affiliates (herein collectively and individually referred to as "Enron") hereby agree that all transactions consummated online pursuant to the terms and provisions set forth in the ETA shall constitute "Transactions" under that certain Enfolio Master Firm Purchase/Sale Agreement, dated effective as of January 28, 1994, between Enron North America Corp. (f/k/a Enron Capital &amp; Trade Resources Corp. and Enron Power Services Inc.) and the Counterparty (the "Enfolio Agreement"), as such agreement may be amended or replaced from time to time.  Notwithstanding anything to the contrary in the ETA, the Enfolio Agreement will control all physical gas transactions entered into via EnronOnline, and acceptance of an online GTC will not be required for such transactions.  Transactions entered into online which are not covered by any master agreement in place will be covered by an online GTC.</w:t>
      </w:r>
    </w:p>
    <w:p>
      <w:pPr>
        <w:pStyle w:val="Normal"/>
        <w:keepLines/>
        <w:autoSpaceDE w:val="false"/>
        <w:spacing w:lineRule="atLeast" w:line="240"/>
        <w:jc w:val="both"/>
        <w:rPr>
          <w:color w:val="000000"/>
          <w:sz w:val="24"/>
        </w:rPr>
      </w:pPr>
      <w:r>
        <w:rPr>
          <w:color w:val="000000"/>
          <w:sz w:val="24"/>
        </w:rPr>
      </w:r>
    </w:p>
    <w:p>
      <w:pPr>
        <w:pStyle w:val="Normal"/>
        <w:keepLines/>
        <w:autoSpaceDE w:val="false"/>
        <w:spacing w:lineRule="atLeast" w:line="240"/>
        <w:jc w:val="both"/>
        <w:rPr>
          <w:color w:val="000000"/>
          <w:sz w:val="24"/>
        </w:rPr>
      </w:pPr>
      <w:r>
        <w:rPr>
          <w:color w:val="000000"/>
          <w:sz w:val="24"/>
        </w:rPr>
        <w:t xml:space="preserve">2.  Section 3(e) of the ETA is hereby amended by inserting the words "except as otherwise provided in the relevant master agreement" at the end of each sentence thereof.  </w:t>
      </w:r>
    </w:p>
    <w:p>
      <w:pPr>
        <w:pStyle w:val="Normal"/>
        <w:keepLines/>
        <w:autoSpaceDE w:val="false"/>
        <w:spacing w:lineRule="atLeast" w:line="240"/>
        <w:jc w:val="both"/>
        <w:rPr>
          <w:color w:val="000000"/>
          <w:sz w:val="24"/>
        </w:rPr>
      </w:pPr>
      <w:r>
        <w:rPr>
          <w:color w:val="000000"/>
          <w:sz w:val="24"/>
        </w:rPr>
      </w:r>
    </w:p>
    <w:p>
      <w:pPr>
        <w:pStyle w:val="BodyText2"/>
        <w:numPr>
          <w:ilvl w:val="0"/>
          <w:numId w:val="2"/>
        </w:numPr>
        <w:tabs>
          <w:tab w:val="clear" w:pos="720"/>
          <w:tab w:val="left" w:pos="0" w:leader="none"/>
          <w:tab w:val="left" w:pos="360" w:leader="none"/>
        </w:tabs>
        <w:ind w:hanging="0" w:start="0" w:end="0"/>
        <w:rPr>
          <w:color w:val="000000"/>
        </w:rPr>
      </w:pPr>
      <w:r>
        <w:rPr>
          <w:color w:val="000000"/>
        </w:rPr>
        <w:t xml:space="preserve"> </w:t>
      </w:r>
      <w:r>
        <w:rPr>
          <w:color w:val="000000"/>
        </w:rPr>
        <w:t>Section 4(a) is hereby amended by adding the following sentence to the end of the Section:  "The limitation of liability provided in this section is not intended to extend to liabilities incurred by Enron resulting from the terms of Transactions executed via the Website, but instead such liabilities shall be limited only as provided in the master agreement or GTC governing such Transactions."</w:t>
      </w:r>
    </w:p>
    <w:p>
      <w:pPr>
        <w:pStyle w:val="Normal"/>
        <w:jc w:val="both"/>
        <w:rPr>
          <w:color w:val="000000"/>
          <w:sz w:val="24"/>
        </w:rPr>
      </w:pPr>
      <w:r>
        <w:rPr>
          <w:color w:val="000000"/>
          <w:sz w:val="24"/>
        </w:rPr>
      </w:r>
    </w:p>
    <w:p>
      <w:pPr>
        <w:pStyle w:val="Normal"/>
        <w:jc w:val="both"/>
        <w:rPr>
          <w:sz w:val="24"/>
        </w:rPr>
      </w:pPr>
      <w:r>
        <w:rPr>
          <w:sz w:val="24"/>
        </w:rPr>
        <w:t>Please indicate Midland Cogeneration Venture Limited Partnership’s agreement to the foregoing by arranging execution of this letter agreement in the space provided below and returning it to us for our files.</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t>Enron Online, LLC</w:t>
      </w:r>
    </w:p>
    <w:p>
      <w:pPr>
        <w:pStyle w:val="Normal"/>
        <w:rPr>
          <w:sz w:val="24"/>
        </w:rPr>
      </w:pPr>
      <w:r>
        <w:rPr>
          <w:sz w:val="24"/>
        </w:rPr>
      </w:r>
    </w:p>
    <w:p>
      <w:pPr>
        <w:pStyle w:val="Normal"/>
        <w:rPr>
          <w:sz w:val="24"/>
        </w:rPr>
      </w:pPr>
      <w:r>
        <w:rPr>
          <w:sz w:val="24"/>
        </w:rPr>
      </w:r>
    </w:p>
    <w:p>
      <w:pPr>
        <w:pStyle w:val="Normal"/>
        <w:rPr>
          <w:sz w:val="24"/>
        </w:rPr>
      </w:pPr>
      <w:r>
        <w:rPr>
          <w:sz w:val="24"/>
        </w:rPr>
        <w:t>By:_____________________</w:t>
      </w:r>
    </w:p>
    <w:p>
      <w:pPr>
        <w:pStyle w:val="Normal"/>
        <w:rPr>
          <w:sz w:val="24"/>
        </w:rPr>
      </w:pPr>
      <w:r>
        <w:rPr>
          <w:sz w:val="24"/>
        </w:rPr>
        <w:t>Name:___________________</w:t>
      </w:r>
    </w:p>
    <w:p>
      <w:pPr>
        <w:pStyle w:val="Normal"/>
        <w:rPr>
          <w:sz w:val="24"/>
        </w:rPr>
      </w:pPr>
      <w:r>
        <w:rPr>
          <w:sz w:val="24"/>
        </w:rPr>
        <w:t>Title:____________________</w:t>
      </w:r>
    </w:p>
    <w:p>
      <w:pPr>
        <w:pStyle w:val="Normal"/>
        <w:rPr>
          <w:sz w:val="24"/>
        </w:rPr>
      </w:pPr>
      <w:r>
        <w:rPr>
          <w:sz w:val="24"/>
        </w:rPr>
      </w:r>
    </w:p>
    <w:p>
      <w:pPr>
        <w:pStyle w:val="Normal"/>
        <w:rPr>
          <w:sz w:val="24"/>
        </w:rPr>
      </w:pPr>
      <w:r>
        <w:rPr>
          <w:sz w:val="24"/>
        </w:rPr>
      </w:r>
    </w:p>
    <w:p>
      <w:pPr>
        <w:pStyle w:val="Normal"/>
        <w:rPr>
          <w:sz w:val="24"/>
        </w:rPr>
      </w:pPr>
      <w:r>
        <w:rPr>
          <w:sz w:val="24"/>
        </w:rPr>
        <w:t>Accepted and agreed:</w:t>
      </w:r>
    </w:p>
    <w:p>
      <w:pPr>
        <w:pStyle w:val="Normal"/>
        <w:rPr>
          <w:sz w:val="24"/>
        </w:rPr>
      </w:pPr>
      <w:r>
        <w:rPr>
          <w:sz w:val="24"/>
        </w:rPr>
      </w:r>
    </w:p>
    <w:p>
      <w:pPr>
        <w:pStyle w:val="Normal"/>
        <w:rPr>
          <w:sz w:val="24"/>
        </w:rPr>
      </w:pPr>
      <w:r>
        <w:rPr>
          <w:sz w:val="24"/>
        </w:rPr>
        <w:t>Midland Cogeneration Venture Limited Partnership</w:t>
      </w:r>
    </w:p>
    <w:p>
      <w:pPr>
        <w:pStyle w:val="Normal"/>
        <w:rPr>
          <w:sz w:val="24"/>
        </w:rPr>
      </w:pPr>
      <w:r>
        <w:rPr>
          <w:sz w:val="24"/>
        </w:rPr>
      </w:r>
    </w:p>
    <w:p>
      <w:pPr>
        <w:pStyle w:val="Normal"/>
        <w:rPr>
          <w:sz w:val="24"/>
        </w:rPr>
      </w:pPr>
      <w:r>
        <w:rPr>
          <w:sz w:val="24"/>
        </w:rPr>
      </w:r>
    </w:p>
    <w:p>
      <w:pPr>
        <w:pStyle w:val="Normal"/>
        <w:rPr>
          <w:sz w:val="24"/>
        </w:rPr>
      </w:pPr>
      <w:r>
        <w:rPr>
          <w:sz w:val="24"/>
        </w:rPr>
        <w:t>By:______________________</w:t>
      </w:r>
    </w:p>
    <w:p>
      <w:pPr>
        <w:pStyle w:val="Heading1"/>
        <w:ind w:hanging="0" w:start="0"/>
        <w:rPr/>
      </w:pPr>
      <w:r>
        <w:rPr/>
        <w:t>Name:___________________</w:t>
      </w:r>
    </w:p>
    <w:p>
      <w:pPr>
        <w:pStyle w:val="Heading1"/>
        <w:ind w:hanging="0" w:start="0"/>
        <w:rPr/>
      </w:pPr>
      <w:r>
        <w:rPr/>
        <w:t>Title:____________________</w:t>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Imperial Oil Resources</w:t>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p>
    <w:pPr>
      <w:pStyle w:val="Header"/>
      <w:rPr>
        <w:rStyle w:val="PageNumber"/>
        <w:sz w:val="24"/>
      </w:rPr>
    </w:pPr>
    <w:r>
      <w:rPr/>
    </w:r>
  </w:p>
  <w:p>
    <w:pPr>
      <w:pStyle w:val="Header"/>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pPr>
    <w:rPr>
      <w:rFonts w:ascii="Arial" w:hAnsi="Arial" w:cs="Arial"/>
      <w:sz w:val="24"/>
    </w:rPr>
  </w:style>
  <w:style w:type="paragraph" w:styleId="BodyText3">
    <w:name w:val="Body Text 3"/>
    <w:basedOn w:val="Normal"/>
    <w:qFormat/>
    <w:pPr/>
    <w:rPr>
      <w:color w:val="000000"/>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2000-08-21T18:19:00Z</dcterms:created>
  <dc:creator>mtaylo1</dc:creator>
  <dc:description/>
  <dc:language>en-CA</dc:language>
  <cp:lastModifiedBy>leslie hansen</cp:lastModifiedBy>
  <cp:lastPrinted>2000-08-21T15:56:00Z</cp:lastPrinted>
  <dcterms:modified xsi:type="dcterms:W3CDTF">2000-08-22T11:47:00Z</dcterms:modified>
  <cp:revision>4</cp:revision>
  <dc:subject/>
  <dc:title>J</dc:title>
</cp:coreProperties>
</file>