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widowControl/>
        <w:jc w:val="center"/>
        <w:rPr>
          <w:rFonts w:ascii="Arial Narrow" w:hAnsi="Arial Narrow" w:cs="Arial Narrow"/>
          <w:b/>
          <w:sz w:val="18"/>
          <w:u w:val="single"/>
        </w:rPr>
      </w:pPr>
      <w:r>
        <w:rPr>
          <w:rFonts w:cs="Arial Narrow" w:ascii="Arial Narrow" w:hAnsi="Arial Narrow"/>
          <w:b/>
          <w:sz w:val="18"/>
          <w:u w:val="single"/>
        </w:rPr>
        <w:t>AGREEMENT TO INTERCONNECT AND OPERATE</w:t>
      </w:r>
    </w:p>
    <w:p>
      <w:pPr>
        <w:pStyle w:val="Normal"/>
        <w:widowControl/>
        <w:jc w:val="center"/>
        <w:rPr>
          <w:rFonts w:ascii="Arial Narrow" w:hAnsi="Arial Narrow" w:cs="Arial Narrow"/>
          <w:b/>
          <w:sz w:val="18"/>
        </w:rPr>
      </w:pPr>
      <w:r>
        <w:rPr>
          <w:rFonts w:cs="Arial Narrow" w:ascii="Arial Narrow" w:hAnsi="Arial Narrow"/>
          <w:b/>
          <w:sz w:val="18"/>
          <w:u w:val="single"/>
        </w:rPr>
        <w:t>NATURAL GAS PIPELINE FACILITIES (GREENS BAYOU)</w:t>
      </w:r>
    </w:p>
    <w:p>
      <w:pPr>
        <w:pStyle w:val="Normal"/>
        <w:widowControl/>
        <w:jc w:val="center"/>
        <w:rPr>
          <w:rFonts w:ascii="Arial Narrow" w:hAnsi="Arial Narrow" w:cs="Arial Narrow"/>
          <w:b/>
          <w:sz w:val="18"/>
        </w:rPr>
      </w:pPr>
      <w:r>
        <w:rPr>
          <w:rFonts w:cs="Arial Narrow" w:ascii="Arial Narrow" w:hAnsi="Arial Narrow"/>
          <w:b/>
          <w:sz w:val="18"/>
        </w:rPr>
      </w:r>
    </w:p>
    <w:p>
      <w:pPr>
        <w:pStyle w:val="Normal"/>
        <w:widowControl/>
        <w:jc w:val="center"/>
        <w:rPr>
          <w:rFonts w:ascii="Arial Narrow" w:hAnsi="Arial Narrow" w:cs="Arial Narrow"/>
          <w:b/>
          <w:sz w:val="18"/>
        </w:rPr>
      </w:pPr>
      <w:r>
        <w:rPr>
          <w:rFonts w:cs="Arial Narrow" w:ascii="Arial Narrow" w:hAnsi="Arial Narrow"/>
          <w:b/>
          <w:sz w:val="18"/>
        </w:rPr>
      </w:r>
    </w:p>
    <w:p>
      <w:pPr>
        <w:pStyle w:val="Heading2"/>
        <w:widowControl/>
        <w:rPr/>
      </w:pPr>
      <w:r>
        <w:rPr>
          <w:sz w:val="18"/>
        </w:rPr>
        <w:tab/>
      </w:r>
      <w:r>
        <w:rPr>
          <w:rFonts w:cs="Arial Narrow" w:ascii="Arial Narrow" w:hAnsi="Arial Narrow"/>
          <w:sz w:val="18"/>
        </w:rPr>
        <w:t>THIS AGREEMENT TO INTERCONNECT AND OPERATE NATURAL GAS PIPELINE FACILITIES (GREENS BAYOU) ("Agreement"), is entered into and made effective this ___ day of December, 1999, (the "Effective Date") by and between, MIDCON TEXAS PIPELINE OPERATOR, INC., a Delaware corporation, ("MTPO"), and HOUSTON PIPE LINE COMPANY, a Delaware corporation, ("HPL").  (MTPO and HPL are sometimes referred to individually as "Party" and collectively as "Parties").</w:t>
      </w:r>
    </w:p>
    <w:p>
      <w:pPr>
        <w:pStyle w:val="Heading2"/>
        <w:widowControl/>
        <w:jc w:val="center"/>
        <w:rPr>
          <w:rFonts w:ascii="Arial Narrow" w:hAnsi="Arial Narrow" w:cs="Arial Narrow"/>
          <w:b/>
          <w:sz w:val="18"/>
        </w:rPr>
      </w:pPr>
      <w:r>
        <w:rPr>
          <w:rFonts w:cs="Arial Narrow" w:ascii="Arial Narrow" w:hAnsi="Arial Narrow"/>
          <w:b/>
          <w:spacing w:val="60"/>
          <w:sz w:val="18"/>
        </w:rPr>
        <w:t>WITNESSETH:</w:t>
      </w:r>
    </w:p>
    <w:p>
      <w:pPr>
        <w:pStyle w:val="Heading2"/>
        <w:widowControl/>
        <w:rPr>
          <w:rFonts w:ascii="Arial Narrow" w:hAnsi="Arial Narrow" w:cs="Arial Narrow"/>
          <w:sz w:val="18"/>
        </w:rPr>
      </w:pPr>
      <w:r>
        <w:rPr>
          <w:rFonts w:cs="Arial Narrow" w:ascii="Arial Narrow" w:hAnsi="Arial Narrow"/>
          <w:sz w:val="18"/>
        </w:rPr>
        <w:tab/>
        <w:t xml:space="preserve">WHEREAS, MTPO owns and operates an intrastate natural gas pipeline and related facilities located in Texas (the "MTPO Pipeline"; and </w:t>
      </w:r>
    </w:p>
    <w:p>
      <w:pPr>
        <w:pStyle w:val="Heading2"/>
        <w:widowControl/>
        <w:rPr>
          <w:rFonts w:ascii="Arial Narrow" w:hAnsi="Arial Narrow" w:cs="Arial Narrow"/>
          <w:sz w:val="18"/>
        </w:rPr>
      </w:pPr>
      <w:r>
        <w:rPr>
          <w:rFonts w:cs="Arial Narrow" w:ascii="Arial Narrow" w:hAnsi="Arial Narrow"/>
          <w:sz w:val="18"/>
        </w:rPr>
        <w:tab/>
        <w:t>WHEREAS, HPL owns and operates an intrastate natural gas pipeline and related facilities located in Texas (the "HPL Pipeline"); and</w:t>
      </w:r>
    </w:p>
    <w:p>
      <w:pPr>
        <w:pStyle w:val="Heading2"/>
        <w:widowControl/>
        <w:rPr/>
      </w:pPr>
      <w:r>
        <w:rPr>
          <w:rFonts w:cs="Arial Narrow" w:ascii="Arial Narrow" w:hAnsi="Arial Narrow"/>
          <w:sz w:val="18"/>
        </w:rPr>
        <w:tab/>
        <w:t xml:space="preserve">WHEREAS, MTPO and HPL desire to install, own, and operate a natural gas meter station located at </w:t>
      </w:r>
      <w:r>
        <w:rPr>
          <w:rFonts w:cs="Arial Narrow" w:ascii="Arial Narrow" w:hAnsi="Arial Narrow"/>
          <w:b/>
          <w:i/>
          <w:sz w:val="18"/>
        </w:rPr>
        <w:t>[legal description]</w:t>
      </w:r>
      <w:r>
        <w:rPr>
          <w:rFonts w:cs="Arial Narrow" w:ascii="Arial Narrow" w:hAnsi="Arial Narrow"/>
          <w:sz w:val="18"/>
        </w:rPr>
        <w:t xml:space="preserve"> of Harris County, Texas to deliver natural gas from the HPL Pipeline to the MTPO Pipeline at points on MTPO's Index 60-19 and Index 60-20 pipelines.</w:t>
      </w:r>
    </w:p>
    <w:p>
      <w:pPr>
        <w:pStyle w:val="Heading2"/>
        <w:widowControl/>
        <w:ind w:hanging="0" w:start="1440" w:end="0"/>
        <w:rPr>
          <w:rFonts w:ascii="Arial Narrow" w:hAnsi="Arial Narrow" w:cs="Arial Narrow"/>
          <w:sz w:val="18"/>
        </w:rPr>
      </w:pPr>
      <w:r>
        <w:rPr>
          <w:rFonts w:cs="Arial Narrow" w:ascii="Arial Narrow" w:hAnsi="Arial Narrow"/>
          <w:sz w:val="18"/>
        </w:rPr>
        <w:t>WHEREAS, Upon completion such interconnect will be identified as the HPL/Greens Bayou Interconnect.</w:t>
      </w:r>
    </w:p>
    <w:p>
      <w:pPr>
        <w:pStyle w:val="Heading2"/>
        <w:widowControl/>
        <w:rPr>
          <w:rFonts w:ascii="Arial Narrow" w:hAnsi="Arial Narrow" w:cs="Arial Narrow"/>
          <w:sz w:val="18"/>
        </w:rPr>
      </w:pPr>
      <w:r>
        <w:rPr>
          <w:rFonts w:cs="Arial Narrow" w:ascii="Arial Narrow" w:hAnsi="Arial Narrow"/>
          <w:sz w:val="18"/>
        </w:rPr>
        <w:tab/>
        <w:t>NOW, THEREFORE, in consideration of the premises and the mutual covenants and agreements herein contained, the parties agree as follows:</w:t>
      </w:r>
    </w:p>
    <w:p>
      <w:pPr>
        <w:pStyle w:val="Heading2"/>
        <w:widowControl/>
        <w:rPr/>
      </w:pPr>
      <w:r>
        <w:rPr>
          <w:rFonts w:cs="Arial Narrow" w:ascii="Arial Narrow" w:hAnsi="Arial Narrow"/>
          <w:sz w:val="18"/>
        </w:rPr>
        <w:t>1.</w:t>
        <w:tab/>
      </w:r>
      <w:r>
        <w:rPr>
          <w:rFonts w:cs="Arial Narrow" w:ascii="Arial Narrow" w:hAnsi="Arial Narrow"/>
          <w:sz w:val="18"/>
          <w:u w:val="single"/>
        </w:rPr>
        <w:t>Interconnect.</w:t>
      </w:r>
      <w:r>
        <w:rPr>
          <w:rFonts w:cs="Arial Narrow" w:ascii="Arial Narrow" w:hAnsi="Arial Narrow"/>
          <w:sz w:val="18"/>
        </w:rPr>
        <w:t xml:space="preserve">    The Interconnect shall consist of a meter facility capable of flowing 100,000 mmbtu per day of natural gas at 600 psig, a chromatograph, flow and pressure regulation equipment, other appurtenant meter equipment, over pressure protection ("OPP"), EFM/SCADA and RTU equipment and appurtenant communication equipment, instrumentation, and tap valves and crossover pipelines required for the physical delivery of natural gas from HPL Pipeline to the MTPO Pipeline (the "Interconnect").  The Interconnect shall consist of the MTPO Facilities and the HPL Facilities, as defined below. The layout of the Interconnect of the HPL Facilities with the MTPO Facilities shall be as set forth on Exhibit "A".</w:t>
      </w:r>
    </w:p>
    <w:p>
      <w:pPr>
        <w:pStyle w:val="Heading2"/>
        <w:widowControl/>
        <w:rPr/>
      </w:pPr>
      <w:r>
        <w:rPr>
          <w:rFonts w:cs="Arial Narrow" w:ascii="Arial Narrow" w:hAnsi="Arial Narrow"/>
          <w:sz w:val="18"/>
        </w:rPr>
        <w:tab/>
        <w:t>(i)</w:t>
        <w:tab/>
      </w:r>
      <w:r>
        <w:rPr>
          <w:rFonts w:cs="Arial Narrow" w:ascii="Arial Narrow" w:hAnsi="Arial Narrow"/>
          <w:sz w:val="18"/>
          <w:u w:val="single"/>
        </w:rPr>
        <w:t>MTPO Ownership</w:t>
      </w:r>
      <w:r>
        <w:rPr>
          <w:rFonts w:cs="Arial Narrow" w:ascii="Arial Narrow" w:hAnsi="Arial Narrow"/>
          <w:sz w:val="18"/>
        </w:rPr>
        <w:t>. MTPO shall own that portion of the Interconnect located on MTPO’s side of the insulating flange designated as the point of custody transfer as defined in Section 5(i) below which shall include a tee and side valve on the MTPO Pipeline, OPP, MTPO's EFM/SCADA and appurtenant communication equipment and instrumentation, and crossover pipeline facilities (the "MTPO Facilities").</w:t>
      </w:r>
    </w:p>
    <w:p>
      <w:pPr>
        <w:pStyle w:val="Heading2"/>
        <w:widowControl/>
        <w:rPr/>
      </w:pPr>
      <w:r>
        <w:rPr>
          <w:rFonts w:cs="Arial Narrow" w:ascii="Arial Narrow" w:hAnsi="Arial Narrow"/>
          <w:sz w:val="18"/>
        </w:rPr>
        <w:tab/>
        <w:t>(ii)</w:t>
        <w:tab/>
      </w:r>
      <w:r>
        <w:rPr>
          <w:rFonts w:cs="Arial Narrow" w:ascii="Arial Narrow" w:hAnsi="Arial Narrow"/>
          <w:sz w:val="18"/>
          <w:u w:val="single"/>
        </w:rPr>
        <w:t>HPL Ownership</w:t>
      </w:r>
      <w:r>
        <w:rPr>
          <w:rFonts w:cs="Arial Narrow" w:ascii="Arial Narrow" w:hAnsi="Arial Narrow"/>
          <w:sz w:val="18"/>
        </w:rPr>
        <w:t>.  HPL or its designee shall own that portion of the Interconnect located on HPL's side of the insulating flange designated as the point of custody transfer defined in Section 5(i) below which shall include the tap valve on the HPL Pipeline, crossover piping, the meter facility capable of flowing 100,000 mmbtu per day of natural gas at 600 psig, chromatograph, flow and pressure regulation equipment, other appurtenant meter equipment, HPL’s EFM/SCADA and RTU and appurtenant communication equipment, and instrumentation (the "HPL Facilities").</w:t>
      </w:r>
    </w:p>
    <w:p>
      <w:pPr>
        <w:pStyle w:val="Heading2"/>
        <w:widowControl/>
        <w:rPr/>
      </w:pPr>
      <w:r>
        <w:rPr>
          <w:rFonts w:cs="Arial Narrow" w:ascii="Arial Narrow" w:hAnsi="Arial Narrow"/>
          <w:sz w:val="18"/>
        </w:rPr>
        <w:t>2.</w:t>
        <w:tab/>
      </w:r>
      <w:r>
        <w:rPr>
          <w:rFonts w:cs="Arial Narrow" w:ascii="Arial Narrow" w:hAnsi="Arial Narrow"/>
          <w:sz w:val="18"/>
          <w:u w:val="single"/>
        </w:rPr>
        <w:t>Engineering, Design and Construction</w:t>
      </w:r>
      <w:r>
        <w:rPr>
          <w:rFonts w:cs="Arial Narrow" w:ascii="Arial Narrow" w:hAnsi="Arial Narrow"/>
          <w:sz w:val="18"/>
        </w:rPr>
        <w:t>. The HPL Facilities shall be designed, installed, and constructed by HPL or its designee in accordance with engineering standards which are mutually agreeable to HPL and MTPO.  HPL shall also design, install, and construct the OPP and crossover pipeline facilities portion of the MTPO Facilities in accordance with engineering standards which are mutually agreeable to HPL and MTPO.  The remaining portion of the MTPO Facilities shall be designed, installed, and constructed by MTPO in accordance with engineering standards which are mutually agreeable to HPL and MTPO.  The Parties may conduct onsite inspections of the other Party's portion of the Interconnect during and after construction.  Upon request by a Party, the other Party shall provide the following: (i) the welder’s test for buttwelds and branch welds; (ii) the fabrication and radiographic inspection; (iii) hydrostatic testing documentation; (iv) OPP documentation, as applicable; and (v) as-built drawings or information.  The Parties shall arrange a mutually agreeable schedule for the tie-in of the Interconnect with the HPL Pipeline and the MTPO Pipeline.  Each Party will use due diligence to complete the installation of the Interconnect with 4 weeks after execution of this Agreement.</w:t>
      </w:r>
    </w:p>
    <w:p>
      <w:pPr>
        <w:pStyle w:val="Heading2"/>
        <w:widowControl/>
        <w:rPr/>
      </w:pPr>
      <w:r>
        <w:rPr>
          <w:rFonts w:cs="Arial Narrow" w:ascii="Arial Narrow" w:hAnsi="Arial Narrow"/>
          <w:sz w:val="18"/>
        </w:rPr>
        <w:t>3.</w:t>
        <w:tab/>
      </w:r>
      <w:r>
        <w:rPr>
          <w:rFonts w:cs="Arial Narrow" w:ascii="Arial Narrow" w:hAnsi="Arial Narrow"/>
          <w:sz w:val="18"/>
          <w:u w:val="single"/>
        </w:rPr>
        <w:t>Reimbursement of Costs</w:t>
      </w:r>
      <w:r>
        <w:rPr>
          <w:rFonts w:cs="Arial Narrow" w:ascii="Arial Narrow" w:hAnsi="Arial Narrow"/>
          <w:sz w:val="18"/>
        </w:rPr>
        <w:t>.  Within 30 days of completion of the Interconnect, each Party shall submit to the other Party, a detailed listing of all direct and indirect costs for the design, installation, procurement, and construction for that portion of the Interconnect installed by such Party under this Agreement and that certain Agreement to Interconnect and Operate Natural Gas Pipeline Facilities (Deer Park) between HPL and MTPO of even date herewith.  All such direct and indirect costs incurred by both Parties shall be totaled (the "Construction Cost") and each Party shall be obligated for 50% of the Construction Cost.  The Party which has incurred more than 50% of the Construction Cost shall invoice the other Party for reimbursement of the difference between the amount installation costs incurred by that Party and 50% of the Construction Cost.  Such invoice shall be paid by the receiving Party within 15 days of its receipt thereof.</w:t>
      </w:r>
    </w:p>
    <w:p>
      <w:pPr>
        <w:pStyle w:val="Heading2"/>
        <w:widowControl/>
        <w:rPr/>
      </w:pPr>
      <w:r>
        <w:rPr>
          <w:rFonts w:cs="Arial Narrow" w:ascii="Arial Narrow" w:hAnsi="Arial Narrow"/>
          <w:sz w:val="18"/>
        </w:rPr>
        <w:t>4.</w:t>
        <w:tab/>
      </w:r>
      <w:r>
        <w:rPr>
          <w:rFonts w:cs="Arial Narrow" w:ascii="Arial Narrow" w:hAnsi="Arial Narrow"/>
          <w:sz w:val="18"/>
          <w:u w:val="single"/>
        </w:rPr>
        <w:t>Easements and Permits</w:t>
      </w:r>
      <w:r>
        <w:rPr>
          <w:rFonts w:cs="Arial Narrow" w:ascii="Arial Narrow" w:hAnsi="Arial Narrow"/>
          <w:sz w:val="18"/>
        </w:rPr>
        <w:t xml:space="preserve">. MTPO shall obtain, at their sole cost and expense, all clearances, permits, licenses, authorizations, easements and other land rights that may be needed for the construction, installation, maintenance, and operation of the MTPO Facilities.  HPL or its designee shall obtain, all clearances, permits, licenses, authorizations, easements and other land rights that may be needed for the construction, installation, maintenance, and operation of the HPL Facilities.  The Parties and/or their designees shall have access to each other's facilities at all reasonable times. </w:t>
      </w:r>
    </w:p>
    <w:p>
      <w:pPr>
        <w:pStyle w:val="Heading2"/>
        <w:widowControl/>
        <w:rPr/>
      </w:pPr>
      <w:r>
        <w:rPr>
          <w:rFonts w:cs="Arial Narrow" w:ascii="Arial Narrow" w:hAnsi="Arial Narrow"/>
          <w:sz w:val="18"/>
        </w:rPr>
        <w:t>5.</w:t>
        <w:tab/>
      </w:r>
      <w:r>
        <w:rPr>
          <w:rFonts w:cs="Arial Narrow" w:ascii="Arial Narrow" w:hAnsi="Arial Narrow"/>
          <w:sz w:val="18"/>
          <w:u w:val="single"/>
        </w:rPr>
        <w:t>Operation</w:t>
      </w:r>
      <w:r>
        <w:rPr>
          <w:rFonts w:cs="Arial Narrow" w:ascii="Arial Narrow" w:hAnsi="Arial Narrow"/>
          <w:sz w:val="18"/>
        </w:rPr>
        <w:t>. MTPO shall operate and maintain the MTPO Facilities in accordance with sound and prudent natural gas pipeline industry practice and shall be fully responsible for the operation and maintenance thereof and for all cost, expense and risk associated therewith.  HPL shall operate and maintain or cause the operation and maintenance of the HPL Facilities in accordance with sound and prudent natural gas pipeline industry practice and shall be fully responsible for the operation and maintenance thereof and for all cost, expense and risk associated therewith.  HPL shall be responsible for electric power and phone service, as required for the Interconnect.</w:t>
      </w:r>
    </w:p>
    <w:p>
      <w:pPr>
        <w:pStyle w:val="Heading2"/>
        <w:widowControl/>
        <w:rPr/>
      </w:pPr>
      <w:r>
        <w:rPr>
          <w:rFonts w:cs="Arial Narrow" w:ascii="Arial Narrow" w:hAnsi="Arial Narrow"/>
          <w:sz w:val="18"/>
        </w:rPr>
        <w:tab/>
        <w:t>(i)</w:t>
        <w:tab/>
      </w:r>
      <w:r>
        <w:rPr>
          <w:rFonts w:cs="Arial Narrow" w:ascii="Arial Narrow" w:hAnsi="Arial Narrow"/>
          <w:sz w:val="18"/>
          <w:u w:val="single"/>
        </w:rPr>
        <w:t>Delivery Point</w:t>
      </w:r>
      <w:r>
        <w:rPr>
          <w:rFonts w:cs="Arial Narrow" w:ascii="Arial Narrow" w:hAnsi="Arial Narrow"/>
          <w:sz w:val="18"/>
        </w:rPr>
        <w:t>.  Custody of the gas shall transfer at the insulating flange located between the MTPO Facilities and the HPL facilities. (See Exhibit "A")</w:t>
      </w:r>
    </w:p>
    <w:p>
      <w:pPr>
        <w:pStyle w:val="Heading2"/>
        <w:widowControl/>
        <w:rPr/>
      </w:pPr>
      <w:r>
        <w:rPr>
          <w:rFonts w:cs="Arial Narrow" w:ascii="Arial Narrow" w:hAnsi="Arial Narrow"/>
          <w:sz w:val="18"/>
        </w:rPr>
        <w:tab/>
        <w:t>(ii)</w:t>
        <w:tab/>
      </w:r>
      <w:r>
        <w:rPr>
          <w:rFonts w:cs="Arial Narrow" w:ascii="Arial Narrow" w:hAnsi="Arial Narrow"/>
          <w:sz w:val="18"/>
          <w:u w:val="single"/>
        </w:rPr>
        <w:t>Quality Specifications and Measurement</w:t>
      </w:r>
      <w:r>
        <w:rPr>
          <w:rFonts w:cs="Arial Narrow" w:ascii="Arial Narrow" w:hAnsi="Arial Narrow"/>
          <w:sz w:val="18"/>
        </w:rPr>
        <w:t>.  All gas delivered to the Interconnect shall be measured in accordance with and shall conform to the gas quality specifications in any applicable gas sales/purchase and/or transportation agreement(s).  MTPO shall at all times have the right to refuse delivery of gas not meeting the quality standards set forth in an applicable sales/purchase and/or transportation agreement.  Operation of the HPL Facilities by HPL or its designee shall include operation of the meter facility (the "Meter") and HPL shall give MTPO twenty-four hour operational notice to HPL prior to any testing or calibrating of the Meter.  MTPO shall have the right to be present during testing or calibrating of the Meter;</w:t>
      </w:r>
      <w:r>
        <w:rPr/>
        <w:t xml:space="preserve"> </w:t>
      </w:r>
      <w:r>
        <w:rPr>
          <w:rFonts w:cs="Arial Narrow" w:ascii="Arial Narrow" w:hAnsi="Arial Narrow"/>
          <w:sz w:val="18"/>
        </w:rPr>
        <w:t xml:space="preserve">provided, if the HPL has given such notice to MTPO and MTPO is not present at the time specified, then HPL may proceed with the tests as though MTPO were present, and the results therefrom shall be deemed correct and accurate.  The Meter shall be used to perform custody transfer measurement of the gas.  </w:t>
      </w:r>
    </w:p>
    <w:p>
      <w:pPr>
        <w:pStyle w:val="Heading2"/>
        <w:widowControl/>
        <w:rPr/>
      </w:pPr>
      <w:r>
        <w:rPr>
          <w:rFonts w:cs="Arial Narrow" w:ascii="Arial Narrow" w:hAnsi="Arial Narrow"/>
          <w:sz w:val="18"/>
        </w:rPr>
        <w:tab/>
      </w:r>
      <w:r>
        <w:rPr>
          <w:rFonts w:cs="Arial Narrow" w:ascii="Arial Narrow" w:hAnsi="Arial Narrow"/>
          <w:b/>
          <w:sz w:val="18"/>
        </w:rPr>
        <w:t>(</w:t>
      </w:r>
      <w:r>
        <w:rPr>
          <w:rFonts w:cs="Arial Narrow" w:ascii="Arial Narrow" w:hAnsi="Arial Narrow"/>
          <w:sz w:val="18"/>
        </w:rPr>
        <w:t>iii)</w:t>
        <w:tab/>
      </w:r>
      <w:r>
        <w:rPr>
          <w:rFonts w:cs="Arial Narrow" w:ascii="Arial Narrow" w:hAnsi="Arial Narrow"/>
          <w:sz w:val="18"/>
          <w:u w:val="single"/>
        </w:rPr>
        <w:t>Flow Control</w:t>
      </w:r>
      <w:r>
        <w:rPr>
          <w:rFonts w:cs="Arial Narrow" w:ascii="Arial Narrow" w:hAnsi="Arial Narrow"/>
          <w:sz w:val="18"/>
        </w:rPr>
        <w:t>. HPL or its designee shall operate the flow control of the HPL Facilities to ensure that gas deliveries are equal to nominations, plus or minus tolerances generally acceptable in the intrastate natural gas pipeline industry.</w:t>
      </w:r>
    </w:p>
    <w:p>
      <w:pPr>
        <w:pStyle w:val="Normal"/>
        <w:jc w:val="both"/>
        <w:rPr/>
      </w:pPr>
      <w:r>
        <w:rPr/>
        <w:tab/>
        <w:tab/>
      </w:r>
      <w:r>
        <w:rPr>
          <w:rFonts w:cs="Arial Narrow" w:ascii="Arial Narrow" w:hAnsi="Arial Narrow"/>
          <w:sz w:val="18"/>
        </w:rPr>
        <w:t>(iv)</w:t>
        <w:tab/>
      </w:r>
      <w:r>
        <w:rPr>
          <w:rFonts w:cs="Arial Narrow" w:ascii="Arial Narrow" w:hAnsi="Arial Narrow"/>
          <w:sz w:val="18"/>
          <w:u w:val="single"/>
        </w:rPr>
        <w:t>Capacity Usage</w:t>
      </w:r>
      <w:r>
        <w:rPr>
          <w:rFonts w:cs="Arial Narrow" w:ascii="Arial Narrow" w:hAnsi="Arial Narrow"/>
          <w:sz w:val="18"/>
        </w:rPr>
        <w:t xml:space="preserve">.  Each Party shall have the right at all times to use 50% of the available capacity of the Interconnect existing from time to time, which shall in no event be less than 25 mmbtu per day.  HPL shall operate and accept nominations through the Interconnect in accordance with this Section 5(iv). If a Party fails to meet the pressure requirements set forth in Paragraph 6 of this Agreement, failing Party shall only be entitled to the Interconnect capacity remaining, if any, after the non-failing Party receives its 25 mmbtu per day. </w:t>
      </w:r>
    </w:p>
    <w:p>
      <w:pPr>
        <w:pStyle w:val="Heading2"/>
        <w:widowControl/>
        <w:spacing w:before="120" w:after="120"/>
        <w:rPr/>
      </w:pPr>
      <w:r>
        <w:rPr>
          <w:rFonts w:cs="Arial Narrow" w:ascii="Arial Narrow" w:hAnsi="Arial Narrow"/>
          <w:sz w:val="18"/>
        </w:rPr>
        <w:tab/>
        <w:t>(v)</w:t>
        <w:tab/>
      </w:r>
      <w:r>
        <w:rPr>
          <w:rFonts w:cs="Arial Narrow" w:ascii="Arial Narrow" w:hAnsi="Arial Narrow"/>
          <w:sz w:val="18"/>
          <w:u w:val="single"/>
        </w:rPr>
        <w:t>Samples and BTU Content</w:t>
      </w:r>
      <w:r>
        <w:rPr>
          <w:rFonts w:cs="Arial Narrow" w:ascii="Arial Narrow" w:hAnsi="Arial Narrow"/>
          <w:sz w:val="18"/>
        </w:rPr>
        <w:t>.  A chromatograph installed as part of the HPL Facilities shall be used to ascertain the heating content of the gas stream.</w:t>
      </w:r>
    </w:p>
    <w:p>
      <w:pPr>
        <w:pStyle w:val="Heading2"/>
        <w:widowControl/>
        <w:rPr/>
      </w:pPr>
      <w:r>
        <w:rPr>
          <w:rFonts w:cs="Arial Narrow" w:ascii="Arial Narrow" w:hAnsi="Arial Narrow"/>
          <w:sz w:val="18"/>
        </w:rPr>
        <w:tab/>
        <w:t>(vi)</w:t>
        <w:tab/>
      </w:r>
      <w:r>
        <w:rPr>
          <w:rFonts w:cs="Arial Narrow" w:ascii="Arial Narrow" w:hAnsi="Arial Narrow"/>
          <w:sz w:val="18"/>
          <w:u w:val="single"/>
        </w:rPr>
        <w:t>Noncompliance</w:t>
      </w:r>
      <w:r>
        <w:rPr>
          <w:rFonts w:cs="Arial Narrow" w:ascii="Arial Narrow" w:hAnsi="Arial Narrow"/>
          <w:sz w:val="18"/>
        </w:rPr>
        <w:t xml:space="preserve">.  Should either Party fail to comply with any provision of this agreement with regard to gas quality, flow control, pressure and pulsation control or any other provision which could impact the operation and safety of the HPL Pipeline or the MTPO Pipeline, the impacted Party shall have the right to immediately suspend the flow of gas through the Interconnect.  Such Party shall notify the other Party of such suspension as soon as reasonably possible. </w:t>
      </w:r>
    </w:p>
    <w:p>
      <w:pPr>
        <w:pStyle w:val="Heading2"/>
        <w:widowControl/>
        <w:rPr/>
      </w:pPr>
      <w:r>
        <w:rPr>
          <w:rFonts w:cs="Arial Narrow" w:ascii="Arial Narrow" w:hAnsi="Arial Narrow"/>
          <w:sz w:val="18"/>
        </w:rPr>
        <w:tab/>
        <w:t>(vii)</w:t>
        <w:tab/>
      </w:r>
      <w:r>
        <w:rPr>
          <w:rFonts w:cs="Arial Narrow" w:ascii="Arial Narrow" w:hAnsi="Arial Narrow"/>
          <w:sz w:val="18"/>
          <w:u w:val="single"/>
        </w:rPr>
        <w:t>Odorization</w:t>
      </w:r>
      <w:r>
        <w:rPr>
          <w:rFonts w:cs="Arial Narrow" w:ascii="Arial Narrow" w:hAnsi="Arial Narrow"/>
          <w:sz w:val="18"/>
        </w:rPr>
        <w:t>.  It is understood and agreed that any gas delivered and received though the Interconnect will not be odorized.</w:t>
      </w:r>
    </w:p>
    <w:p>
      <w:pPr>
        <w:pStyle w:val="Heading2"/>
        <w:widowControl/>
        <w:rPr/>
      </w:pPr>
      <w:r>
        <w:rPr>
          <w:rFonts w:cs="Arial Narrow" w:ascii="Arial Narrow" w:hAnsi="Arial Narrow"/>
          <w:sz w:val="18"/>
        </w:rPr>
        <w:t>6.</w:t>
        <w:tab/>
      </w:r>
      <w:r>
        <w:rPr>
          <w:rFonts w:cs="Arial Narrow" w:ascii="Arial Narrow" w:hAnsi="Arial Narrow"/>
          <w:sz w:val="18"/>
          <w:u w:val="single"/>
        </w:rPr>
        <w:t>Pressure Commitments</w:t>
      </w:r>
      <w:r>
        <w:rPr>
          <w:rFonts w:cs="Arial Narrow" w:ascii="Arial Narrow" w:hAnsi="Arial Narrow"/>
          <w:sz w:val="18"/>
        </w:rPr>
        <w:t>.  For a period of five (5) years from the Effective Date (the "Pressure Commitment Term"), MTPO shall endeavor to operate the Index 60-19 and 60-21 sections of the MTPO Pipeline at pressures below 650 psig.  If MTPO operates the Index 60-19 and 60-21 sections at pressures above 650 psig and such operation by MTPO results in HPL being unable to deliver a minimum of 50 mmbtu per day into the MTPO Pipeline during a gas day when nominated under a valid sale/purchase or transportation agreement (a "Non-Performance Day") for a total of 30 Non-Performance Days during any 6 month period, MTPO shall within twenty (20) days of written notice from HPL of the accumulation of 30 Non-Performance Days by MTPO, pay to HPL a one time amount equal to all of the costs borne by HPL for the installation of the Greens Bayou Interconnect under Paragraph 3 of this Agreement plus IRS Tax Gross Up.  During the Pressure Commitment Term, HPL will endeavor to operate the HPL Pipeline at pressures sufficient to cause gas to flow into MTPO's Index 60-19 and 60-21 sections of the MTPO Pipeline.  If HPL operates the HPL Pipeline at pressures insufficient to cause gas flow when MTPO's pressures on the Index 60-19 and 60-21 sections are less than 650 psig and such operation results in a total of 30 Non-Performance Days during any 6 month period, HPL shall within twenty (20) days of written notice from HPL of the accumulation of 30 Non-Performance Days by HPL, pay to MTPO a one time amount equal to all of the costs borne by MTPO for the installation of the Green Bayou Interconnect under Paragraph 3 of this Agreement plus IRS Tax Gross Up.  The MTPO Facilities shall include OPP equipment which shall be set at a pressure not to exceed the MAOP of the MTPO Pipeline, as it may be modified from time to time.  MTPO shall properly operate, maintain, inspect, test, and document the OPP devices on an annual basis and shall provide such documentation to HPL.</w:t>
      </w:r>
    </w:p>
    <w:p>
      <w:pPr>
        <w:pStyle w:val="Heading2"/>
        <w:widowControl/>
        <w:rPr/>
      </w:pPr>
      <w:r>
        <w:rPr>
          <w:rFonts w:cs="Arial Narrow" w:ascii="Arial Narrow" w:hAnsi="Arial Narrow"/>
          <w:sz w:val="18"/>
        </w:rPr>
        <w:t>7.</w:t>
        <w:tab/>
      </w:r>
      <w:r>
        <w:rPr>
          <w:rFonts w:cs="Arial Narrow" w:ascii="Arial Narrow" w:hAnsi="Arial Narrow"/>
          <w:sz w:val="18"/>
          <w:u w:val="single"/>
        </w:rPr>
        <w:t>No Obligation</w:t>
      </w:r>
      <w:r>
        <w:rPr>
          <w:rFonts w:cs="Arial Narrow" w:ascii="Arial Narrow" w:hAnsi="Arial Narrow"/>
          <w:sz w:val="18"/>
        </w:rPr>
        <w:t>.  Neither the installation of the Interconnect nor the Parties execution of this Agreement shall require a Party to receive or deliver gas through the Interconnect absent an applicable transportation, purchase or sales agreement.</w:t>
      </w:r>
    </w:p>
    <w:p>
      <w:pPr>
        <w:pStyle w:val="Heading2"/>
        <w:widowControl/>
        <w:rPr/>
      </w:pPr>
      <w:r>
        <w:rPr>
          <w:rFonts w:cs="Arial Narrow" w:ascii="Arial Narrow" w:hAnsi="Arial Narrow"/>
          <w:sz w:val="18"/>
        </w:rPr>
        <w:t>8.</w:t>
        <w:tab/>
      </w:r>
      <w:r>
        <w:rPr>
          <w:rFonts w:cs="Arial Narrow" w:ascii="Arial Narrow" w:hAnsi="Arial Narrow"/>
          <w:sz w:val="18"/>
          <w:u w:val="single"/>
        </w:rPr>
        <w:t>Compliance with Laws</w:t>
      </w:r>
      <w:r>
        <w:rPr>
          <w:rFonts w:cs="Arial Narrow" w:ascii="Arial Narrow" w:hAnsi="Arial Narrow"/>
          <w:sz w:val="18"/>
        </w:rPr>
        <w:t>.  The Interconnect shall be constructed, installed, operated and maintained in compliance with all valid laws, orders, directives, rules and regulations of governmental authorities having jurisdiction.</w:t>
      </w:r>
    </w:p>
    <w:p>
      <w:pPr>
        <w:pStyle w:val="Heading2"/>
        <w:widowControl/>
        <w:rPr/>
      </w:pPr>
      <w:r>
        <w:rPr>
          <w:rFonts w:cs="Arial Narrow" w:ascii="Arial Narrow" w:hAnsi="Arial Narrow"/>
          <w:sz w:val="18"/>
        </w:rPr>
        <w:t>8.</w:t>
        <w:tab/>
      </w:r>
      <w:r>
        <w:rPr>
          <w:rFonts w:cs="Arial Narrow" w:ascii="Arial Narrow" w:hAnsi="Arial Narrow"/>
          <w:sz w:val="18"/>
          <w:u w:val="single"/>
        </w:rPr>
        <w:t>Inspection and Retention of Records</w:t>
      </w:r>
      <w:r>
        <w:rPr>
          <w:rFonts w:cs="Arial Narrow" w:ascii="Arial Narrow" w:hAnsi="Arial Narrow"/>
          <w:sz w:val="18"/>
        </w:rPr>
        <w:t>.  Each Party shall have the right at all reasonable times to audit the records of the other Party which are pertinent to the Agreement; provided, however, that each Party shall adequately protect the confidentiality of proprietary information.  If any such examinations reveal any inaccuracy in any billing theretofore made, the necessary adjustments in such billing and payment shall be made within thirty (30) days after final determination thereof; provided, that no adjustments for any billing or payment shall be made for any inaccuracy claimed after the lapse of twenty-four (24) months from the rendition of the invoice(s) relating thereto.  All of the records including, measurement, safety, operational, accounting records and accounts referred to herein shall be maintained according to generally accepted accounting and industry principles employed in the business of the purchase, transportation and sales of gas or in accordance with any laws, rules or regulations which are or may become applicable, and such records and accounts will be available for inspection at times mutually agreeable to the Parties hereto.</w:t>
      </w:r>
    </w:p>
    <w:p>
      <w:pPr>
        <w:pStyle w:val="Heading2"/>
        <w:widowControl/>
        <w:rPr/>
      </w:pPr>
      <w:r>
        <w:rPr>
          <w:rFonts w:cs="Arial Narrow" w:ascii="Arial Narrow" w:hAnsi="Arial Narrow"/>
          <w:sz w:val="18"/>
        </w:rPr>
        <w:t xml:space="preserve">9. </w:t>
        <w:tab/>
      </w:r>
      <w:r>
        <w:rPr>
          <w:rFonts w:cs="Arial Narrow" w:ascii="Arial Narrow" w:hAnsi="Arial Narrow"/>
          <w:sz w:val="18"/>
          <w:u w:val="single"/>
        </w:rPr>
        <w:t>Term</w:t>
      </w:r>
      <w:r>
        <w:rPr>
          <w:rFonts w:cs="Arial Narrow" w:ascii="Arial Narrow" w:hAnsi="Arial Narrow"/>
          <w:sz w:val="18"/>
        </w:rPr>
        <w:t>.</w:t>
      </w:r>
      <w:r>
        <w:rPr>
          <w:rFonts w:cs="Arial Narrow" w:ascii="Arial Narrow" w:hAnsi="Arial Narrow"/>
          <w:b/>
          <w:sz w:val="18"/>
        </w:rPr>
        <w:t xml:space="preserve">  </w:t>
      </w:r>
      <w:r>
        <w:rPr>
          <w:rFonts w:cs="Arial Narrow" w:ascii="Arial Narrow" w:hAnsi="Arial Narrow"/>
          <w:sz w:val="18"/>
        </w:rPr>
        <w:t xml:space="preserve">This agreement shall be effective as of the Effective Date and shall remain in full force and effect thereafter for a period of fifteen (15) years and thereafter for so long as gas flow through the Interconnect has occurred within the past year.  Upon cessation of deliveries of gas through the Interconnect during any calendar year, any Party may terminate this agreement upon ninety days written notice to the other Parties.  The indemnity provisions of Section 10 and any payment obligations hereunder shall survive the termination of this Agreement.  </w:t>
      </w:r>
    </w:p>
    <w:p>
      <w:pPr>
        <w:pStyle w:val="Heading2"/>
        <w:rPr>
          <w:b/>
        </w:rPr>
      </w:pPr>
      <w:r>
        <w:rPr>
          <w:rFonts w:cs="Arial Narrow" w:ascii="Arial Narrow" w:hAnsi="Arial Narrow"/>
          <w:caps/>
          <w:sz w:val="18"/>
        </w:rPr>
        <w:t>10.</w:t>
        <w:tab/>
      </w:r>
      <w:r>
        <w:rPr>
          <w:rFonts w:cs="Arial Narrow" w:ascii="Arial Narrow" w:hAnsi="Arial Narrow"/>
          <w:sz w:val="18"/>
          <w:u w:val="single"/>
        </w:rPr>
        <w:t>Indemnity</w:t>
      </w:r>
      <w:r>
        <w:rPr>
          <w:rFonts w:cs="Arial Narrow" w:ascii="Arial Narrow" w:hAnsi="Arial Narrow"/>
          <w:sz w:val="18"/>
        </w:rPr>
        <w:t xml:space="preserve">.  </w:t>
      </w:r>
      <w:r>
        <w:rPr>
          <w:rFonts w:cs="Arial Narrow" w:ascii="Arial Narrow" w:hAnsi="Arial Narrow"/>
          <w:b/>
          <w:caps/>
          <w:sz w:val="18"/>
        </w:rPr>
        <w:t xml:space="preserve">Each Party agrees to indemnify, defend and hold harmless the other Parties and their respective parents and other affiliates, successors, assigns, legal representatives, officers, directors, shareholders, agents and employees (the “Indemnified Party”) from and against all claims, causes of action, damages, suits, judgments, and liabilities of every kind, including all expenses of litigation, court costs and attorneys and expert witness fees, injuries to or sickness or death of any person, loss or damage to any property (including, without limitation, claims resulting from the presence, disposal or release of any material, and for the clean-up or remediation of contamination and/or environmental damage), civil or criminal fines or penalties or similar payments, or other losses not enumerated above, caused by, arising out of, or in any way incident to, in connection with, or related to (i) the breach by such Party (or any of such Party’s employees, agents, representatives, contractors or subcontractors) of any portion of that Party’s obligations, covenants, representations, or warranties contained in this Agreement, or (ii) any act or omission by such Party (or any of such Party’s employees, agents, representatives, contractors or subcontractors) with regard to this Agreement or any activities conducted by such Party (or any of such Party’s employees, agents, representatives, contractors or subcontractors) pursuant to this Agreement. </w:t>
      </w:r>
      <w:r>
        <w:rPr>
          <w:rFonts w:cs="Arial Narrow" w:ascii="Arial Narrow" w:hAnsi="Arial Narrow"/>
          <w:b/>
          <w:sz w:val="18"/>
        </w:rPr>
        <w:t>IT IS THE INTENT OF THE PARTIES THAT THIS INDEMNITY AND THE LIABILITY ASSUMED UNDER IT BE WITHOUT REGARD TO THE CAUSE OR CAUSES THEREOF, INCLUDING, WITHOUT LIMITATION, THE NEGLIGENCE OF ANY INDEMNIFIED PARTY, WHETHER SUCH NEGLIGENCE BE SOLE, JOINT OR CONCURRENT, OR ACTIVE OR PASSIVE; PROVIDED, NO PARTY SHALL BE LIABLE IN RESPECT OF ANY CLAIM TO THE EXTENT SAME RESULTED FROM THE GROSS NEGLIGENCE, WILLFUL MISCONDUCT OR BAD FAITH OF THE INDEMNIFIED PARTY.</w:t>
      </w:r>
    </w:p>
    <w:p>
      <w:pPr>
        <w:pStyle w:val="Heading2"/>
        <w:widowControl/>
        <w:rPr/>
      </w:pPr>
      <w:r>
        <w:rPr>
          <w:rFonts w:cs="Arial Narrow" w:ascii="Arial Narrow" w:hAnsi="Arial Narrow"/>
          <w:sz w:val="18"/>
        </w:rPr>
        <w:t>11.</w:t>
        <w:tab/>
      </w:r>
      <w:r>
        <w:rPr>
          <w:rFonts w:cs="Arial Narrow" w:ascii="Arial Narrow" w:hAnsi="Arial Narrow"/>
          <w:sz w:val="18"/>
          <w:u w:val="single"/>
        </w:rPr>
        <w:t>Limitation of Consequential Damage Recovery.</w:t>
      </w:r>
      <w:r>
        <w:rPr>
          <w:rFonts w:cs="Arial Narrow" w:ascii="Arial Narrow" w:hAnsi="Arial Narrow"/>
          <w:b/>
          <w:sz w:val="18"/>
        </w:rPr>
        <w:t xml:space="preserve">  EXCEPT AS EXPRESSLY PROVIDED HEREIN, NO PARTY SHALL BE LIABLE TO ANY OTHER PARTY FOR ANY LOST OR PROSPECTIVE PROFITS OR ANY SPECIAL, PUNITIVE, EXEMPLARY, CONSEQUENTIAL, INCIDENTAL OR INDIRECT LOSSES OR DAMAGES (IN TORT, CONTRACT OR OTHERWISE) UNDER OR IN RESPECT OF THIS AGREEMENT OR FOR ANY FAILURE OF PERFORMANCE RELATED HERETO HOWSOEVER CAUSED.</w:t>
      </w:r>
    </w:p>
    <w:p>
      <w:pPr>
        <w:pStyle w:val="Heading2"/>
        <w:widowControl/>
        <w:rPr/>
      </w:pPr>
      <w:r>
        <w:rPr>
          <w:rFonts w:cs="Arial Narrow" w:ascii="Arial Narrow" w:hAnsi="Arial Narrow"/>
          <w:sz w:val="18"/>
        </w:rPr>
        <w:t>12.</w:t>
        <w:tab/>
      </w:r>
      <w:r>
        <w:rPr>
          <w:rFonts w:cs="Arial Narrow" w:ascii="Arial Narrow" w:hAnsi="Arial Narrow"/>
          <w:sz w:val="18"/>
          <w:u w:val="single"/>
        </w:rPr>
        <w:t>Notices.</w:t>
      </w:r>
      <w:r>
        <w:rPr>
          <w:rFonts w:cs="Arial Narrow" w:ascii="Arial Narrow" w:hAnsi="Arial Narrow"/>
          <w:b/>
          <w:sz w:val="18"/>
        </w:rPr>
        <w:t xml:space="preserve">  </w:t>
      </w:r>
      <w:r>
        <w:rPr>
          <w:rFonts w:cs="Arial Narrow" w:ascii="Arial Narrow" w:hAnsi="Arial Narrow"/>
          <w:sz w:val="18"/>
        </w:rPr>
        <w:t>All notices and other communications between the Parties, unless otherwise specifically provided, shall be in writing and deemed to have been duly given when delivered in person or deposited with the United States Postal Service, First Class, with postage prepaid, addressed as follows:</w:t>
      </w:r>
    </w:p>
    <w:p>
      <w:pPr>
        <w:pStyle w:val="Normal"/>
        <w:widowControl/>
        <w:rPr>
          <w:rFonts w:ascii="Arial Narrow" w:hAnsi="Arial Narrow" w:cs="Arial Narrow"/>
          <w:sz w:val="18"/>
        </w:rPr>
      </w:pPr>
      <w:r>
        <w:rPr>
          <w:rFonts w:cs="Arial Narrow" w:ascii="Arial Narrow" w:hAnsi="Arial Narrow"/>
          <w:sz w:val="18"/>
        </w:rPr>
        <w:t>HPL:</w:t>
        <w:tab/>
        <w:tab/>
        <w:tab/>
        <w:tab/>
        <w:t>MTPO</w:t>
        <w:tab/>
        <w:tab/>
        <w:tab/>
      </w:r>
    </w:p>
    <w:p>
      <w:pPr>
        <w:pStyle w:val="Normal"/>
        <w:widowControl/>
        <w:rPr/>
      </w:pPr>
      <w:r>
        <w:rPr>
          <w:rFonts w:cs="Arial Narrow" w:ascii="Arial Narrow" w:hAnsi="Arial Narrow"/>
          <w:sz w:val="18"/>
        </w:rPr>
        <w:t>Houston Pipe Line Company</w:t>
      </w:r>
      <w:r>
        <w:rPr>
          <w:rFonts w:cs="Arial Narrow" w:ascii="Arial Narrow" w:hAnsi="Arial Narrow"/>
          <w:b/>
          <w:sz w:val="18"/>
        </w:rPr>
        <w:t xml:space="preserve"> </w:t>
        <w:tab/>
        <w:tab/>
      </w:r>
      <w:r>
        <w:rPr>
          <w:rFonts w:cs="Arial Narrow" w:ascii="Arial Narrow" w:hAnsi="Arial Narrow"/>
          <w:sz w:val="18"/>
        </w:rPr>
        <w:t>Midcon Texas Pipeline Operator, Inc.</w:t>
        <w:tab/>
        <w:tab/>
      </w:r>
    </w:p>
    <w:p>
      <w:pPr>
        <w:pStyle w:val="Normal"/>
        <w:widowControl/>
        <w:rPr>
          <w:rFonts w:ascii="Arial Narrow" w:hAnsi="Arial Narrow" w:cs="Arial Narrow"/>
          <w:sz w:val="18"/>
        </w:rPr>
      </w:pPr>
      <w:r>
        <w:rPr>
          <w:rFonts w:cs="Arial Narrow" w:ascii="Arial Narrow" w:hAnsi="Arial Narrow"/>
          <w:sz w:val="18"/>
        </w:rPr>
        <w:t>1400 Smith St.</w:t>
        <w:tab/>
        <w:tab/>
        <w:tab/>
        <w:t>________________________</w:t>
      </w:r>
    </w:p>
    <w:p>
      <w:pPr>
        <w:pStyle w:val="Normal"/>
        <w:widowControl/>
        <w:rPr>
          <w:rFonts w:ascii="Arial Narrow" w:hAnsi="Arial Narrow" w:cs="Arial Narrow"/>
          <w:sz w:val="18"/>
        </w:rPr>
      </w:pPr>
      <w:r>
        <w:rPr>
          <w:rFonts w:cs="Arial Narrow" w:ascii="Arial Narrow" w:hAnsi="Arial Narrow"/>
          <w:sz w:val="18"/>
        </w:rPr>
        <w:t>Houston, Texas 77002-7361</w:t>
        <w:tab/>
        <w:tab/>
        <w:t>________________________</w:t>
      </w:r>
    </w:p>
    <w:p>
      <w:pPr>
        <w:pStyle w:val="Normal"/>
        <w:widowControl/>
        <w:rPr>
          <w:rFonts w:ascii="Arial Narrow" w:hAnsi="Arial Narrow" w:cs="Arial Narrow"/>
          <w:sz w:val="18"/>
        </w:rPr>
      </w:pPr>
      <w:r>
        <w:rPr>
          <w:rFonts w:cs="Arial Narrow" w:ascii="Arial Narrow" w:hAnsi="Arial Narrow"/>
          <w:sz w:val="18"/>
        </w:rPr>
        <w:t>Attention:  Natural Gas Assets</w:t>
        <w:tab/>
        <w:tab/>
        <w:t>________________________</w:t>
      </w:r>
    </w:p>
    <w:p>
      <w:pPr>
        <w:pStyle w:val="Normal"/>
        <w:widowControl/>
        <w:rPr>
          <w:rFonts w:ascii="Arial Narrow" w:hAnsi="Arial Narrow" w:cs="Arial Narrow"/>
          <w:sz w:val="18"/>
        </w:rPr>
      </w:pPr>
      <w:r>
        <w:rPr>
          <w:rFonts w:cs="Arial Narrow" w:ascii="Arial Narrow" w:hAnsi="Arial Narrow"/>
          <w:sz w:val="18"/>
        </w:rPr>
        <w:t>Facsimile Number:  (713) 646-8416</w:t>
        <w:tab/>
        <w:t>________________________</w:t>
      </w:r>
    </w:p>
    <w:p>
      <w:pPr>
        <w:pStyle w:val="Normal"/>
        <w:widowControl/>
        <w:ind w:firstLine="720" w:start="2160" w:end="0"/>
        <w:rPr>
          <w:rFonts w:ascii="Arial Narrow" w:hAnsi="Arial Narrow" w:cs="Arial Narrow"/>
          <w:sz w:val="18"/>
        </w:rPr>
      </w:pPr>
      <w:r>
        <w:rPr>
          <w:rFonts w:cs="Arial Narrow" w:ascii="Arial Narrow" w:hAnsi="Arial Narrow"/>
          <w:sz w:val="18"/>
        </w:rPr>
        <w:t>________________________</w:t>
      </w:r>
    </w:p>
    <w:p>
      <w:pPr>
        <w:pStyle w:val="Normal"/>
        <w:widowControl/>
        <w:rPr>
          <w:rFonts w:ascii="Arial Narrow" w:hAnsi="Arial Narrow" w:cs="Arial Narrow"/>
          <w:sz w:val="18"/>
        </w:rPr>
      </w:pPr>
      <w:r>
        <w:rPr>
          <w:rFonts w:cs="Arial Narrow" w:ascii="Arial Narrow" w:hAnsi="Arial Narrow"/>
          <w:b/>
          <w:sz w:val="18"/>
        </w:rPr>
        <w:t>Operational Notices</w:t>
      </w:r>
      <w:r>
        <w:rPr>
          <w:rFonts w:cs="Arial Narrow" w:ascii="Arial Narrow" w:hAnsi="Arial Narrow"/>
          <w:sz w:val="18"/>
        </w:rPr>
        <w:t>:</w:t>
        <w:tab/>
        <w:tab/>
        <w:tab/>
      </w:r>
      <w:r>
        <w:rPr>
          <w:rFonts w:cs="Arial Narrow" w:ascii="Arial Narrow" w:hAnsi="Arial Narrow"/>
          <w:b/>
          <w:sz w:val="18"/>
        </w:rPr>
        <w:t>Operational Notices:</w:t>
      </w:r>
    </w:p>
    <w:p>
      <w:pPr>
        <w:pStyle w:val="Normal"/>
        <w:widowControl/>
        <w:rPr>
          <w:rFonts w:ascii="Arial Narrow" w:hAnsi="Arial Narrow" w:cs="Arial Narrow"/>
          <w:sz w:val="18"/>
        </w:rPr>
      </w:pPr>
      <w:r>
        <w:rPr>
          <w:rFonts w:cs="Arial Narrow" w:ascii="Arial Narrow" w:hAnsi="Arial Narrow"/>
          <w:sz w:val="18"/>
        </w:rPr>
        <w:t>East Texas Team</w:t>
        <w:tab/>
        <w:tab/>
        <w:tab/>
        <w:t>________________________</w:t>
      </w:r>
    </w:p>
    <w:p>
      <w:pPr>
        <w:pStyle w:val="Normal"/>
        <w:widowControl/>
        <w:rPr>
          <w:rFonts w:ascii="Arial Narrow" w:hAnsi="Arial Narrow" w:cs="Arial Narrow"/>
          <w:sz w:val="18"/>
        </w:rPr>
      </w:pPr>
      <w:r>
        <w:rPr>
          <w:rFonts w:cs="Arial Narrow" w:ascii="Arial Narrow" w:hAnsi="Arial Narrow"/>
          <w:sz w:val="18"/>
        </w:rPr>
        <w:t>(409) 755-4373</w:t>
        <w:tab/>
        <w:tab/>
        <w:tab/>
        <w:t>________________________</w:t>
      </w:r>
    </w:p>
    <w:p>
      <w:pPr>
        <w:pStyle w:val="Normal"/>
        <w:widowControl/>
        <w:rPr/>
      </w:pPr>
      <w:r>
        <w:rPr>
          <w:rFonts w:cs="Arial Narrow" w:ascii="Arial Narrow" w:hAnsi="Arial Narrow"/>
          <w:b/>
          <w:sz w:val="18"/>
        </w:rPr>
        <w:t>Gas Control</w:t>
      </w:r>
      <w:r>
        <w:rPr>
          <w:rFonts w:cs="Arial Narrow" w:ascii="Arial Narrow" w:hAnsi="Arial Narrow"/>
          <w:sz w:val="18"/>
        </w:rPr>
        <w:t>:(713) 853-6444</w:t>
        <w:tab/>
        <w:tab/>
        <w:t>________________________</w:t>
      </w:r>
    </w:p>
    <w:p>
      <w:pPr>
        <w:pStyle w:val="Normal"/>
        <w:widowControl/>
        <w:rPr>
          <w:rFonts w:ascii="Arial Narrow" w:hAnsi="Arial Narrow" w:cs="Arial Narrow"/>
          <w:sz w:val="18"/>
        </w:rPr>
      </w:pPr>
      <w:r>
        <w:rPr>
          <w:rFonts w:cs="Arial Narrow" w:ascii="Arial Narrow" w:hAnsi="Arial Narrow"/>
          <w:sz w:val="18"/>
        </w:rPr>
        <w:tab/>
        <w:tab/>
        <w:tab/>
        <w:tab/>
        <w:t>________________________</w:t>
      </w:r>
    </w:p>
    <w:p>
      <w:pPr>
        <w:pStyle w:val="Normal"/>
        <w:widowControl/>
        <w:rPr>
          <w:rFonts w:ascii="Arial Narrow" w:hAnsi="Arial Narrow" w:cs="Arial Narrow"/>
          <w:sz w:val="18"/>
        </w:rPr>
      </w:pPr>
      <w:r>
        <w:rPr>
          <w:rFonts w:cs="Arial Narrow" w:ascii="Arial Narrow" w:hAnsi="Arial Narrow"/>
          <w:sz w:val="18"/>
        </w:rPr>
        <w:tab/>
        <w:tab/>
        <w:tab/>
        <w:tab/>
        <w:t>________________________</w:t>
      </w:r>
    </w:p>
    <w:p>
      <w:pPr>
        <w:pStyle w:val="Normal"/>
        <w:widowControl/>
        <w:rPr>
          <w:rFonts w:ascii="Arial Narrow" w:hAnsi="Arial Narrow" w:cs="Arial Narrow"/>
          <w:sz w:val="18"/>
        </w:rPr>
      </w:pPr>
      <w:r>
        <w:rPr>
          <w:rFonts w:cs="Arial Narrow" w:ascii="Arial Narrow" w:hAnsi="Arial Narrow"/>
          <w:sz w:val="18"/>
        </w:rPr>
      </w:r>
    </w:p>
    <w:p>
      <w:pPr>
        <w:pStyle w:val="Heading2"/>
        <w:widowControl/>
        <w:rPr>
          <w:rFonts w:ascii="Arial Narrow" w:hAnsi="Arial Narrow" w:cs="Arial Narrow"/>
          <w:sz w:val="18"/>
        </w:rPr>
      </w:pPr>
      <w:r>
        <w:rPr>
          <w:rFonts w:cs="Arial Narrow" w:ascii="Arial Narrow" w:hAnsi="Arial Narrow"/>
          <w:sz w:val="18"/>
        </w:rPr>
        <w:t>13.</w:t>
        <w:tab/>
      </w:r>
      <w:r>
        <w:rPr>
          <w:rFonts w:cs="Arial Narrow" w:ascii="Arial Narrow" w:hAnsi="Arial Narrow"/>
          <w:sz w:val="18"/>
          <w:u w:val="single"/>
        </w:rPr>
        <w:t>Laws</w:t>
      </w:r>
      <w:r>
        <w:rPr>
          <w:rFonts w:cs="Arial Narrow" w:ascii="Arial Narrow" w:hAnsi="Arial Narrow"/>
          <w:sz w:val="18"/>
        </w:rPr>
        <w:t xml:space="preserve">.  </w:t>
      </w:r>
      <w:r>
        <w:rPr>
          <w:rFonts w:cs="Arial Narrow" w:ascii="Arial Narrow" w:hAnsi="Arial Narrow"/>
          <w:b/>
          <w:sz w:val="18"/>
        </w:rPr>
        <w:t>THIS AGREEMENT SHALL BE GOVERNED BY AND CONSTRUED IN ACCORDANCE WITH THE LAWS OF THE STATE OF TEXAS, EXCLUDING ANY CONFLICTS-OF-LAW RULE OR PRINCIPLE WHICH MIGHT REQUIRE THE APPLICATION OF THE LAWS OF ANOTHER JURISDICTION.</w:t>
      </w:r>
    </w:p>
    <w:p>
      <w:pPr>
        <w:pStyle w:val="Normal"/>
        <w:ind w:firstLine="720" w:end="0"/>
        <w:jc w:val="both"/>
        <w:rPr/>
      </w:pPr>
      <w:r>
        <w:rPr>
          <w:rFonts w:cs="Arial Narrow" w:ascii="Arial Narrow" w:hAnsi="Arial Narrow"/>
          <w:sz w:val="18"/>
        </w:rPr>
        <w:t>14.</w:t>
        <w:tab/>
      </w:r>
      <w:r>
        <w:rPr>
          <w:rFonts w:cs="Arial Narrow" w:ascii="Arial Narrow" w:hAnsi="Arial Narrow"/>
          <w:sz w:val="18"/>
          <w:u w:val="single"/>
        </w:rPr>
        <w:t>Arbitration</w:t>
      </w:r>
      <w:r>
        <w:rPr>
          <w:rFonts w:cs="Arial Narrow" w:ascii="Arial Narrow" w:hAnsi="Arial Narrow"/>
          <w:sz w:val="18"/>
        </w:rPr>
        <w:t>. Any dispute relating to this Assignment shall be resolved by binding arbitration pursuant to the Commercial Arbitration Rules of the American Arbitration Association ("</w:t>
      </w:r>
      <w:r>
        <w:rPr>
          <w:rFonts w:cs="Arial Narrow" w:ascii="Arial Narrow" w:hAnsi="Arial Narrow"/>
          <w:sz w:val="18"/>
          <w:u w:val="single"/>
        </w:rPr>
        <w:t>AAA</w:t>
      </w:r>
      <w:r>
        <w:rPr>
          <w:rFonts w:cs="Arial Narrow" w:ascii="Arial Narrow" w:hAnsi="Arial Narrow"/>
          <w:sz w:val="18"/>
        </w:rPr>
        <w:t>") and all such proceedings shall be subject to the Federal Arbitration Act.  Each Party shall select one arbitrator and the two arbitrators shall select a third arbitrator who has not previously been employed by either Party and does not have a direct or indirect interest in either Party or the subject matter of the arbitration. While the third arbitrator shall be neutral, the two party-appointed arbitrators are not required to be neutral, and it shall not be grounds for removal of either of the two party-appointed arbitrators or for vacating the arbitrators' award that either of such arbitrators has past or present relationships with the party that appointed such arbitrator.  Only damages allowed pursuant to this Assignment may be awarded and the arbitrator shall have no authority to award treble, consequential, incidental, indirect, exemplary or punitive, lost profits or other business interruption damages of any type under any circumstances regardless of whether such damages may be available under Texas law.</w:t>
      </w:r>
      <w:r>
        <w:rPr/>
        <w:t xml:space="preserve"> </w:t>
      </w:r>
    </w:p>
    <w:p>
      <w:pPr>
        <w:pStyle w:val="Normal"/>
        <w:ind w:firstLine="720" w:end="0"/>
        <w:jc w:val="both"/>
        <w:rPr/>
      </w:pPr>
      <w:r>
        <w:rPr/>
      </w:r>
    </w:p>
    <w:p>
      <w:pPr>
        <w:pStyle w:val="Heading2"/>
        <w:widowControl/>
        <w:rPr/>
      </w:pPr>
      <w:r>
        <w:rPr>
          <w:rFonts w:cs="Arial Narrow" w:ascii="Arial Narrow" w:hAnsi="Arial Narrow"/>
          <w:sz w:val="18"/>
        </w:rPr>
        <w:t>15.</w:t>
        <w:tab/>
      </w:r>
      <w:r>
        <w:rPr>
          <w:rFonts w:cs="Arial Narrow" w:ascii="Arial Narrow" w:hAnsi="Arial Narrow"/>
          <w:sz w:val="18"/>
          <w:u w:val="single"/>
        </w:rPr>
        <w:t>Binding Agreement and Assignments</w:t>
      </w:r>
      <w:r>
        <w:rPr>
          <w:rFonts w:cs="Arial Narrow" w:ascii="Arial Narrow" w:hAnsi="Arial Narrow"/>
          <w:sz w:val="18"/>
        </w:rPr>
        <w:t>. Once executed by the Parties, this Agreement shall be binding upon and inure to the benefit of the Parties and their permitted successors and assigns.  Except to the extent expressly allowed hereinafter, a Party may not sell, assign or otherwise transfer, in whole or in part, any interest in this Agreement without the prior written consent of the other Parties to this Agreement, which consent shall not be unreasonably withheld; provided that, a Party may sell, assign or transfer partially or wholly its interest in this Agreement to an affiliate without consent of the other Parties.  Any sale, assignment or transfer in violation of the foregoing provisions shall be void.</w:t>
      </w:r>
    </w:p>
    <w:p>
      <w:pPr>
        <w:pStyle w:val="Heading2"/>
        <w:widowControl/>
        <w:rPr/>
      </w:pPr>
      <w:r>
        <w:rPr>
          <w:rFonts w:cs="Arial Narrow" w:ascii="Arial Narrow" w:hAnsi="Arial Narrow"/>
          <w:sz w:val="18"/>
        </w:rPr>
        <w:t>16.</w:t>
        <w:tab/>
      </w:r>
      <w:r>
        <w:rPr>
          <w:rFonts w:cs="Arial Narrow" w:ascii="Arial Narrow" w:hAnsi="Arial Narrow"/>
          <w:sz w:val="18"/>
          <w:u w:val="single"/>
        </w:rPr>
        <w:t>Force Majeure</w:t>
      </w:r>
      <w:r>
        <w:rPr>
          <w:rFonts w:cs="Arial Narrow" w:ascii="Arial Narrow" w:hAnsi="Arial Narrow"/>
          <w:sz w:val="18"/>
        </w:rPr>
        <w:t>.</w:t>
      </w:r>
      <w:r>
        <w:rPr>
          <w:rFonts w:cs="Arial Narrow" w:ascii="Arial Narrow" w:hAnsi="Arial Narrow"/>
          <w:b/>
          <w:sz w:val="18"/>
        </w:rPr>
        <w:t xml:space="preserve"> </w:t>
      </w:r>
      <w:r>
        <w:rPr>
          <w:rFonts w:cs="Arial Narrow" w:ascii="Arial Narrow" w:hAnsi="Arial Narrow"/>
          <w:sz w:val="18"/>
        </w:rPr>
        <w:t xml:space="preserve">In the event any Party is rendered unable, wholly or in part, by Force Majeure to carry out its obligations, other than payment, it is agreed that upon such Party's giving notice of such Force Majeure to the other party, the obligations of the Party giving such notice, to the extent affected by such event, shall be suspended from the inception and during the continuance of the Force Majeure. </w:t>
      </w:r>
      <w:r>
        <w:rPr>
          <w:rFonts w:cs="Arial Narrow" w:ascii="Arial Narrow" w:hAnsi="Arial Narrow"/>
          <w:b/>
          <w:sz w:val="18"/>
        </w:rPr>
        <w:t xml:space="preserve"> "</w:t>
      </w:r>
      <w:r>
        <w:rPr>
          <w:rFonts w:cs="Arial Narrow" w:ascii="Arial Narrow" w:hAnsi="Arial Narrow"/>
          <w:b/>
          <w:i/>
          <w:sz w:val="18"/>
        </w:rPr>
        <w:t>Force Majeure</w:t>
      </w:r>
      <w:r>
        <w:rPr>
          <w:rFonts w:cs="Arial Narrow" w:ascii="Arial Narrow" w:hAnsi="Arial Narrow"/>
          <w:sz w:val="18"/>
        </w:rPr>
        <w:t>" means an event not anticipated as of the date hereof, which is not within the reasonable control of the Party, or in the case of third party obligations or facilities, the third party, claiming suspension, and which by the exercise of due diligence such party, or third party, is unable to overcome or obtain or cause to be obtained a commercially reasonable substitute performance therefor.</w:t>
      </w:r>
    </w:p>
    <w:p>
      <w:pPr>
        <w:pStyle w:val="Heading2"/>
        <w:widowControl/>
        <w:rPr/>
      </w:pPr>
      <w:r>
        <w:rPr>
          <w:rFonts w:cs="Arial Narrow" w:ascii="Arial Narrow" w:hAnsi="Arial Narrow"/>
          <w:sz w:val="18"/>
        </w:rPr>
        <w:t>17.</w:t>
        <w:tab/>
      </w:r>
      <w:r>
        <w:rPr>
          <w:rFonts w:cs="Arial Narrow" w:ascii="Arial Narrow" w:hAnsi="Arial Narrow"/>
          <w:sz w:val="18"/>
          <w:u w:val="single"/>
        </w:rPr>
        <w:t>Miscellaneous</w:t>
      </w:r>
      <w:r>
        <w:rPr>
          <w:rFonts w:cs="Arial Narrow" w:ascii="Arial Narrow" w:hAnsi="Arial Narrow"/>
          <w:b/>
          <w:sz w:val="18"/>
          <w:u w:val="single"/>
        </w:rPr>
        <w:t>.</w:t>
      </w:r>
      <w:r>
        <w:rPr>
          <w:rFonts w:cs="Arial Narrow" w:ascii="Arial Narrow" w:hAnsi="Arial Narrow"/>
          <w:b/>
          <w:sz w:val="18"/>
        </w:rPr>
        <w:t xml:space="preserve">  </w:t>
      </w:r>
      <w:r>
        <w:rPr>
          <w:rFonts w:cs="Arial Narrow" w:ascii="Arial Narrow" w:hAnsi="Arial Narrow"/>
          <w:sz w:val="18"/>
        </w:rPr>
        <w:t>The division of this Agreement into articles, sections and subsections, and the insertion of headings and table of contents, if any, are for convenience of reference only, and shall not affect the construction or interpretation hereof.  To the extent of any conflict between the terms and provisions of the portion of this Agreement that precedes the signature lines (the "Body of the Agreement") and any Exhibit or Appendix attached hereto, the Body of the Agreement shall control.  This Agreement was prepared jointly by the Parties hereto.  This Agreement was prepared with each of the Parties having access to their own counsel, and the Parties waive any claim they may have now or in the future based on this Agreement not having been prepared jointly by the Parties.  If one or more of the provisions of this Agreement are determined to be invalid, illegal or unenforceable by a court of competent jurisdiction, the affected Parties hereunder shall promptly meet and attempt in good faith to agree on how to adjust the remaining provisions of this Agreement to place the affected Parties in the same economic position they would have been in had such provision(s) remained in effect.  If the affected Parties are unable to agree on such adjustments, then any materially affected Party may terminate this Agreement upon reasonable notice to the other Parties.  This Agreement together with the Exhibits attached hereto set forth the entire agreement among the Parties relating to the subject matter hereof and supersedes and replaces all previous discussions, undertakings and agreements regarding the subject matter of this Agreement.  Except as otherwise expressly provided, this Agreement shall not be amended other than by written agreement of the Parties. The failure of any Party to insist upon strict performance of any provision hereof shall not constitute a waiver of, or estoppel against asserting, the right to require such performance in the future, nor shall a waiver or estoppel in any one instance constitute a waiver or estoppel with respect to a later breach of a similar nature or otherwise.</w:t>
      </w:r>
    </w:p>
    <w:p>
      <w:pPr>
        <w:pStyle w:val="Heading2"/>
        <w:widowControl/>
        <w:rPr/>
      </w:pPr>
      <w:r>
        <w:rPr>
          <w:rFonts w:cs="Arial Narrow" w:ascii="Arial Narrow" w:hAnsi="Arial Narrow"/>
          <w:sz w:val="18"/>
        </w:rPr>
        <w:t>18.</w:t>
        <w:tab/>
      </w:r>
      <w:r>
        <w:rPr>
          <w:rFonts w:cs="Arial Narrow" w:ascii="Arial Narrow" w:hAnsi="Arial Narrow"/>
          <w:sz w:val="18"/>
          <w:u w:val="single"/>
        </w:rPr>
        <w:t>Counterparts</w:t>
      </w:r>
      <w:r>
        <w:rPr>
          <w:rFonts w:cs="Arial Narrow" w:ascii="Arial Narrow" w:hAnsi="Arial Narrow"/>
          <w:sz w:val="18"/>
        </w:rPr>
        <w:t>.  This Agreement may be executed in any number of counterparts, each of which when so executed shall be deemed to be an originally executed copy.</w:t>
      </w:r>
    </w:p>
    <w:p>
      <w:pPr>
        <w:pStyle w:val="Normal"/>
        <w:widowControl/>
        <w:jc w:val="both"/>
        <w:rPr>
          <w:rFonts w:ascii="Arial Narrow" w:hAnsi="Arial Narrow" w:cs="Arial Narrow"/>
          <w:sz w:val="18"/>
        </w:rPr>
      </w:pPr>
      <w:r>
        <w:rPr>
          <w:rFonts w:cs="Arial Narrow" w:ascii="Arial Narrow" w:hAnsi="Arial Narrow"/>
          <w:sz w:val="18"/>
        </w:rPr>
        <w:tab/>
        <w:t>IN WITNESS WHEREOF, the parties hereto have executed this Agreement as of the date first above written.</w:t>
      </w:r>
    </w:p>
    <w:p>
      <w:pPr>
        <w:pStyle w:val="Normal"/>
        <w:widowControl/>
        <w:jc w:val="both"/>
        <w:rPr>
          <w:rFonts w:ascii="Arial Narrow" w:hAnsi="Arial Narrow" w:cs="Arial Narrow"/>
          <w:sz w:val="18"/>
        </w:rPr>
      </w:pPr>
      <w:r>
        <w:rPr>
          <w:rFonts w:cs="Arial Narrow" w:ascii="Arial Narrow" w:hAnsi="Arial Narrow"/>
          <w:sz w:val="18"/>
        </w:rPr>
      </w:r>
    </w:p>
    <w:p>
      <w:pPr>
        <w:pStyle w:val="Normal"/>
        <w:widowControl/>
        <w:jc w:val="both"/>
        <w:rPr/>
      </w:pPr>
      <w:r>
        <w:rPr>
          <w:rFonts w:cs="Arial Narrow" w:ascii="Arial Narrow" w:hAnsi="Arial Narrow"/>
          <w:b/>
          <w:sz w:val="18"/>
        </w:rPr>
        <w:t>MIDCON TEXAS PIPELINE OPERATOR</w:t>
        <w:tab/>
      </w:r>
      <w:r>
        <w:rPr>
          <w:rFonts w:cs="Arial Narrow" w:ascii="Arial Narrow" w:hAnsi="Arial Narrow"/>
          <w:sz w:val="18"/>
        </w:rPr>
        <w:tab/>
        <w:tab/>
        <w:tab/>
      </w:r>
      <w:r>
        <w:rPr>
          <w:rFonts w:cs="Arial Narrow" w:ascii="Arial Narrow" w:hAnsi="Arial Narrow"/>
          <w:b/>
          <w:sz w:val="18"/>
        </w:rPr>
        <w:t>HOUSTON PIPE LINE COMPANY</w:t>
      </w:r>
    </w:p>
    <w:p>
      <w:pPr>
        <w:pStyle w:val="Normal"/>
        <w:widowControl/>
        <w:jc w:val="both"/>
        <w:rPr>
          <w:rFonts w:ascii="Arial Narrow" w:hAnsi="Arial Narrow" w:cs="Arial Narrow"/>
          <w:b/>
          <w:sz w:val="18"/>
        </w:rPr>
      </w:pPr>
      <w:r>
        <w:rPr>
          <w:rFonts w:cs="Arial Narrow" w:ascii="Arial Narrow" w:hAnsi="Arial Narrow"/>
          <w:b/>
          <w:sz w:val="18"/>
        </w:rPr>
      </w:r>
    </w:p>
    <w:p>
      <w:pPr>
        <w:pStyle w:val="Normal"/>
        <w:widowControl/>
        <w:jc w:val="both"/>
        <w:rPr>
          <w:rFonts w:ascii="Arial Narrow" w:hAnsi="Arial Narrow" w:cs="Arial Narrow"/>
          <w:sz w:val="18"/>
        </w:rPr>
      </w:pPr>
      <w:r>
        <w:rPr>
          <w:rFonts w:cs="Arial Narrow" w:ascii="Arial Narrow" w:hAnsi="Arial Narrow"/>
          <w:sz w:val="18"/>
        </w:rPr>
        <w:t>By:</w:t>
      </w:r>
      <w:r>
        <w:rPr>
          <w:rFonts w:cs="Arial Narrow" w:ascii="Arial Narrow" w:hAnsi="Arial Narrow"/>
          <w:sz w:val="18"/>
          <w:u w:val="single"/>
        </w:rPr>
        <w:tab/>
        <w:tab/>
        <w:tab/>
        <w:tab/>
        <w:tab/>
        <w:tab/>
      </w:r>
      <w:r>
        <w:rPr>
          <w:rFonts w:cs="Arial Narrow" w:ascii="Arial Narrow" w:hAnsi="Arial Narrow"/>
          <w:sz w:val="18"/>
        </w:rPr>
        <w:tab/>
        <w:t>By:</w:t>
      </w:r>
      <w:r>
        <w:rPr>
          <w:rFonts w:cs="Arial Narrow" w:ascii="Arial Narrow" w:hAnsi="Arial Narrow"/>
          <w:sz w:val="18"/>
          <w:u w:val="single"/>
        </w:rPr>
        <w:tab/>
        <w:tab/>
        <w:tab/>
        <w:tab/>
        <w:tab/>
      </w:r>
    </w:p>
    <w:p>
      <w:pPr>
        <w:pStyle w:val="Normal"/>
        <w:widowControl/>
        <w:jc w:val="both"/>
        <w:rPr>
          <w:rFonts w:ascii="Arial Narrow" w:hAnsi="Arial Narrow" w:cs="Arial Narrow"/>
          <w:sz w:val="18"/>
        </w:rPr>
      </w:pPr>
      <w:r>
        <w:rPr>
          <w:rFonts w:cs="Arial Narrow" w:ascii="Arial Narrow" w:hAnsi="Arial Narrow"/>
          <w:sz w:val="18"/>
        </w:rPr>
        <w:t>Title</w:t>
      </w:r>
      <w:r>
        <w:rPr>
          <w:rFonts w:cs="Arial Narrow" w:ascii="Arial Narrow" w:hAnsi="Arial Narrow"/>
          <w:sz w:val="18"/>
          <w:u w:val="single"/>
        </w:rPr>
        <w:t>:</w:t>
        <w:tab/>
        <w:tab/>
        <w:tab/>
        <w:tab/>
        <w:tab/>
        <w:tab/>
      </w:r>
      <w:r>
        <w:rPr>
          <w:rFonts w:cs="Arial Narrow" w:ascii="Arial Narrow" w:hAnsi="Arial Narrow"/>
          <w:sz w:val="18"/>
        </w:rPr>
        <w:tab/>
        <w:t>Title:</w:t>
      </w:r>
      <w:r>
        <w:rPr>
          <w:rFonts w:cs="Arial Narrow" w:ascii="Arial Narrow" w:hAnsi="Arial Narrow"/>
          <w:sz w:val="18"/>
          <w:u w:val="single"/>
        </w:rPr>
        <w:tab/>
        <w:tab/>
        <w:tab/>
        <w:tab/>
        <w:tab/>
      </w:r>
    </w:p>
    <w:p>
      <w:pPr>
        <w:pStyle w:val="Normal"/>
        <w:widowControl/>
        <w:jc w:val="both"/>
        <w:rPr/>
      </w:pPr>
      <w:r>
        <w:rPr>
          <w:rFonts w:cs="Arial Narrow" w:ascii="Arial Narrow" w:hAnsi="Arial Narrow"/>
          <w:sz w:val="18"/>
        </w:rPr>
        <w:t>Date:</w:t>
      </w:r>
      <w:r>
        <w:rPr>
          <w:rFonts w:cs="Arial Narrow" w:ascii="Arial Narrow" w:hAnsi="Arial Narrow"/>
          <w:sz w:val="18"/>
          <w:u w:val="single"/>
        </w:rPr>
        <w:tab/>
        <w:tab/>
        <w:tab/>
        <w:tab/>
        <w:tab/>
        <w:tab/>
      </w:r>
      <w:r>
        <w:rPr>
          <w:rFonts w:cs="Arial Narrow" w:ascii="Arial Narrow" w:hAnsi="Arial Narrow"/>
          <w:sz w:val="18"/>
        </w:rPr>
        <w:tab/>
        <w:t>Date:</w:t>
      </w:r>
      <w:r>
        <w:rPr>
          <w:rFonts w:cs="Arial Narrow" w:ascii="Arial Narrow" w:hAnsi="Arial Narrow"/>
          <w:sz w:val="18"/>
          <w:u w:val="single"/>
        </w:rPr>
        <w:tab/>
        <w:tab/>
        <w:tab/>
        <w:tab/>
        <w:tab/>
      </w:r>
    </w:p>
    <w:p>
      <w:pPr>
        <w:pStyle w:val="Normal"/>
        <w:widowControl/>
        <w:jc w:val="both"/>
        <w:rPr>
          <w:rFonts w:ascii="Arial Narrow" w:hAnsi="Arial Narrow" w:cs="Arial Narrow"/>
          <w:sz w:val="18"/>
          <w:u w:val="single"/>
        </w:rPr>
      </w:pPr>
      <w:r>
        <w:rPr>
          <w:rFonts w:cs="Arial Narrow" w:ascii="Arial Narrow" w:hAnsi="Arial Narrow"/>
          <w:sz w:val="18"/>
          <w:u w:val="single"/>
        </w:rPr>
      </w:r>
    </w:p>
    <w:p>
      <w:pPr>
        <w:pStyle w:val="Normal"/>
        <w:widowControl/>
        <w:jc w:val="both"/>
        <w:rPr>
          <w:rFonts w:ascii="Arial Narrow" w:hAnsi="Arial Narrow" w:cs="Arial Narrow"/>
          <w:sz w:val="18"/>
        </w:rPr>
      </w:pPr>
      <w:r>
        <w:rPr>
          <w:rFonts w:cs="Arial Narrow" w:ascii="Arial Narrow" w:hAnsi="Arial Narrow"/>
          <w:sz w:val="18"/>
        </w:rPr>
      </w:r>
    </w:p>
    <w:p>
      <w:pPr>
        <w:pStyle w:val="Normal"/>
        <w:widowControl/>
        <w:jc w:val="both"/>
        <w:rPr>
          <w:rFonts w:ascii="Arial Narrow" w:hAnsi="Arial Narrow" w:cs="Arial Narrow"/>
          <w:sz w:val="18"/>
        </w:rPr>
      </w:pPr>
      <w:r>
        <w:rPr>
          <w:rFonts w:cs="Arial Narrow" w:ascii="Arial Narrow" w:hAnsi="Arial Narrow"/>
          <w:sz w:val="18"/>
        </w:rPr>
      </w:r>
      <w:r>
        <w:br w:type="page"/>
      </w:r>
    </w:p>
    <w:p>
      <w:pPr>
        <w:pStyle w:val="Normal"/>
        <w:widowControl/>
        <w:jc w:val="both"/>
        <w:rPr>
          <w:rFonts w:ascii="Arial Narrow" w:hAnsi="Arial Narrow" w:cs="Arial Narrow"/>
          <w:sz w:val="18"/>
        </w:rPr>
      </w:pPr>
      <w:r>
        <w:rPr>
          <w:rFonts w:cs="Arial Narrow" w:ascii="Arial Narrow" w:hAnsi="Arial Narrow"/>
          <w:sz w:val="18"/>
        </w:rPr>
      </w:r>
    </w:p>
    <w:p>
      <w:pPr>
        <w:pStyle w:val="Normal"/>
        <w:widowControl/>
        <w:jc w:val="center"/>
        <w:rPr>
          <w:rFonts w:ascii="Arial Narrow" w:hAnsi="Arial Narrow" w:cs="Arial Narrow"/>
          <w:b/>
          <w:sz w:val="18"/>
        </w:rPr>
      </w:pPr>
      <w:r>
        <w:rPr>
          <w:rFonts w:cs="Arial Narrow" w:ascii="Arial Narrow" w:hAnsi="Arial Narrow"/>
          <w:b/>
          <w:sz w:val="18"/>
        </w:rPr>
        <w:t>EXHIBIT "A"</w:t>
      </w:r>
    </w:p>
    <w:p>
      <w:pPr>
        <w:pStyle w:val="Normal"/>
        <w:widowControl/>
        <w:jc w:val="center"/>
        <w:rPr>
          <w:rFonts w:ascii="Arial Narrow" w:hAnsi="Arial Narrow" w:cs="Arial Narrow"/>
          <w:b/>
          <w:sz w:val="18"/>
        </w:rPr>
      </w:pPr>
      <w:r>
        <w:rPr>
          <w:rFonts w:cs="Arial Narrow" w:ascii="Arial Narrow" w:hAnsi="Arial Narrow"/>
          <w:b/>
          <w:sz w:val="18"/>
        </w:rPr>
      </w:r>
    </w:p>
    <w:p>
      <w:pPr>
        <w:pStyle w:val="Normal"/>
        <w:widowControl/>
        <w:jc w:val="center"/>
        <w:rPr>
          <w:rFonts w:ascii="Arial Narrow" w:hAnsi="Arial Narrow" w:cs="Arial Narrow"/>
          <w:b/>
          <w:sz w:val="18"/>
        </w:rPr>
      </w:pPr>
      <w:r>
        <w:rPr>
          <w:rFonts w:cs="Arial Narrow" w:ascii="Arial Narrow" w:hAnsi="Arial Narrow"/>
          <w:b/>
          <w:sz w:val="18"/>
        </w:rPr>
      </w:r>
    </w:p>
    <w:p>
      <w:pPr>
        <w:pStyle w:val="Normal"/>
        <w:widowControl/>
        <w:jc w:val="center"/>
        <w:rPr>
          <w:rFonts w:ascii="Arial Narrow" w:hAnsi="Arial Narrow" w:cs="Arial Narrow"/>
          <w:b/>
          <w:sz w:val="18"/>
        </w:rPr>
      </w:pPr>
      <w:r>
        <w:rPr>
          <w:rFonts w:cs="Arial Narrow" w:ascii="Arial Narrow" w:hAnsi="Arial Narrow"/>
          <w:b/>
          <w:sz w:val="18"/>
        </w:rPr>
        <w:t>[PIPING SCHEMATIC DRAWING CLEARLY INDICATING THE INSULATING FLANGE AND PIPING]</w:t>
      </w:r>
    </w:p>
    <w:sectPr>
      <w:headerReference w:type="default" r:id="rId2"/>
      <w:footerReference w:type="default" r:id="rId3"/>
      <w:type w:val="nextPage"/>
      <w:pgSz w:w="12240" w:h="15840"/>
      <w:pgMar w:left="1440" w:right="1440" w:gutter="0" w:header="720" w:top="1440" w:footer="576" w:bottom="1296"/>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TIMES">
    <w:altName w:val="Times New Roman"/>
    <w:charset w:val="00" w:characterSet="windows-1252"/>
    <w:family w:val="roman"/>
    <w:pitch w:val="variable"/>
  </w:font>
  <w:font w:name="Liberation Sans">
    <w:altName w:val="Arial"/>
    <w:charset w:val="01" w:characterSet="utf-8"/>
    <w:family w:val="swiss"/>
    <w:pitch w:val="variable"/>
  </w:font>
  <w:font w:name="Tahoma">
    <w:charset w:val="00" w:characterSet="windows-1252"/>
    <w:family w:val="swiss"/>
    <w:pitch w:val="variable"/>
  </w:font>
  <w:font w:name="Arial Narrow">
    <w:charset w:val="00" w:characterSet="windows-1252"/>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widowControl/>
      <w:jc w:val="both"/>
      <w:rPr/>
    </w:pPr>
    <w:r>
      <w:rPr>
        <w:rFonts w:cs="Arial Narrow" w:ascii="Arial Narrow" w:hAnsi="Arial Narrow"/>
        <w:sz w:val="14"/>
      </w:rPr>
      <w:t>COMMON\LEGAL\gnemec\</w:t>
    </w:r>
    <w:r>
      <w:rPr>
        <w:rFonts w:cs="Arial Narrow" w:ascii="Arial Narrow" w:hAnsi="Arial Narrow"/>
        <w:sz w:val="14"/>
      </w:rPr>
      <w:fldChar w:fldCharType="begin"/>
    </w:r>
    <w:r>
      <w:rPr>
        <w:sz w:val="14"/>
        <w:rFonts w:cs="Arial Narrow" w:ascii="Arial Narrow" w:hAnsi="Arial Narrow"/>
      </w:rPr>
      <w:instrText xml:space="preserve"> FILENAME </w:instrText>
    </w:r>
    <w:r>
      <w:rPr>
        <w:sz w:val="14"/>
        <w:rFonts w:cs="Arial Narrow" w:ascii="Arial Narrow" w:hAnsi="Arial Narrow"/>
      </w:rPr>
      <w:fldChar w:fldCharType="separate"/>
    </w:r>
    <w:r>
      <w:rPr>
        <w:sz w:val="14"/>
        <w:rFonts w:cs="Arial Narrow" w:ascii="Arial Narrow" w:hAnsi="Arial Narrow"/>
      </w:rPr>
      <w:t>Midcon_Greens_Bayou.doc</w:t>
    </w:r>
    <w:r>
      <w:rPr>
        <w:sz w:val="14"/>
        <w:rFonts w:cs="Arial Narrow" w:ascii="Arial Narrow" w:hAnsi="Arial Narrow"/>
      </w:rPr>
      <w:fldChar w:fldCharType="end"/>
    </w:r>
    <w:r>
      <w:rPr>
        <w:rStyle w:val="PageNumber"/>
        <w:sz w:val="24"/>
      </w:rPr>
      <w:t xml:space="preserve"> </w:t>
    </w:r>
  </w:p>
  <w:p>
    <w:pPr>
      <w:pStyle w:val="Footer"/>
      <w:widowControl/>
      <w:jc w:val="center"/>
      <w:rPr>
        <w:rStyle w:val="PageNumber"/>
        <w:sz w:val="24"/>
      </w:rPr>
    </w:pPr>
    <w:r>
      <w:rPr/>
    </w:r>
  </w:p>
  <w:p>
    <w:pPr>
      <w:pStyle w:val="Footer"/>
      <w:widowControl/>
      <w:jc w:val="center"/>
      <w:rPr/>
    </w:pPr>
    <w:r>
      <w:rPr>
        <w:rStyle w:val="PageNumber"/>
        <w:rFonts w:cs="Arial Narrow" w:ascii="Arial Narrow" w:hAnsi="Arial Narrow"/>
        <w:sz w:val="18"/>
      </w:rPr>
      <w:fldChar w:fldCharType="begin"/>
    </w:r>
    <w:r>
      <w:rPr>
        <w:rStyle w:val="PageNumber"/>
        <w:sz w:val="18"/>
        <w:rFonts w:cs="Arial Narrow" w:ascii="Arial Narrow" w:hAnsi="Arial Narrow"/>
      </w:rPr>
      <w:instrText xml:space="preserve"> PAGE </w:instrText>
    </w:r>
    <w:r>
      <w:rPr>
        <w:rStyle w:val="PageNumber"/>
        <w:sz w:val="18"/>
        <w:rFonts w:cs="Arial Narrow" w:ascii="Arial Narrow" w:hAnsi="Arial Narrow"/>
      </w:rPr>
      <w:fldChar w:fldCharType="separate"/>
    </w:r>
    <w:r>
      <w:rPr>
        <w:rStyle w:val="PageNumber"/>
        <w:sz w:val="18"/>
        <w:rFonts w:cs="Arial Narrow" w:ascii="Arial Narrow" w:hAnsi="Arial Narrow"/>
      </w:rPr>
      <w:t>6</w:t>
    </w:r>
    <w:r>
      <w:rPr>
        <w:rStyle w:val="PageNumber"/>
        <w:sz w:val="18"/>
        <w:rFonts w:cs="Arial Narrow" w:ascii="Arial Narrow" w:hAnsi="Arial Narrow"/>
      </w:rPr>
      <w:fldChar w:fldCharType="end"/>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b/>
      </w:rPr>
    </w:pPr>
    <w:r>
      <w:rPr>
        <w:b/>
      </w:rPr>
      <w:t>DRAFT 12/15/99</w:t>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150"/>
  <w:defaultTabStop w:val="720"/>
  <w:autoHyphenation w:val="true"/>
  <w:hyphenationZone w:val="0"/>
  <w:compat>
    <w:doNotExpandShiftReturn/>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val="false"/>
      <w:bidi w:val="0"/>
    </w:pPr>
    <w:rPr>
      <w:rFonts w:ascii="Times New Roman" w:hAnsi="Times New Roman" w:eastAsia="Times New Roman" w:cs="Times New Roman"/>
      <w:color w:val="auto"/>
      <w:sz w:val="24"/>
      <w:szCs w:val="20"/>
      <w:lang w:val="en-US" w:eastAsia="zh-CN" w:bidi="hi-IN"/>
    </w:rPr>
  </w:style>
  <w:style w:type="paragraph" w:styleId="Heading1">
    <w:name w:val="heading 1"/>
    <w:basedOn w:val="Normal"/>
    <w:next w:val="Normal"/>
    <w:qFormat/>
    <w:pPr>
      <w:keepNext w:val="true"/>
      <w:numPr>
        <w:ilvl w:val="0"/>
        <w:numId w:val="1"/>
      </w:numPr>
      <w:spacing w:before="240" w:after="60"/>
      <w:outlineLvl w:val="0"/>
    </w:pPr>
    <w:rPr>
      <w:rFonts w:ascii="Arial" w:hAnsi="Arial" w:cs="Arial"/>
      <w:b/>
      <w:kern w:val="2"/>
      <w:sz w:val="28"/>
    </w:rPr>
  </w:style>
  <w:style w:type="paragraph" w:styleId="Heading2">
    <w:name w:val="heading 2"/>
    <w:basedOn w:val="Normal"/>
    <w:next w:val="Normal"/>
    <w:qFormat/>
    <w:pPr>
      <w:numPr>
        <w:ilvl w:val="1"/>
        <w:numId w:val="1"/>
      </w:numPr>
      <w:spacing w:before="0" w:after="120"/>
      <w:ind w:firstLine="720" w:start="0" w:end="0"/>
      <w:jc w:val="both"/>
      <w:outlineLvl w:val="1"/>
    </w:pPr>
    <w:rPr/>
  </w:style>
  <w:style w:type="paragraph" w:styleId="Heading3">
    <w:name w:val="heading 3"/>
    <w:basedOn w:val="Normal"/>
    <w:next w:val="NormalIndent"/>
    <w:qFormat/>
    <w:pPr>
      <w:numPr>
        <w:ilvl w:val="2"/>
        <w:numId w:val="1"/>
      </w:numPr>
      <w:ind w:hanging="0" w:start="360" w:end="0"/>
      <w:outlineLvl w:val="2"/>
    </w:pPr>
    <w:rPr>
      <w:rFonts w:ascii="TIMES" w:hAnsi="TIMES" w:cs="TIMES"/>
      <w:b/>
    </w:rPr>
  </w:style>
  <w:style w:type="character" w:styleId="WW8NumSt1z0">
    <w:name w:val="WW8NumSt1z0"/>
    <w:qFormat/>
    <w:rPr>
      <w:rFonts w:ascii="Symbol" w:hAnsi="Symbol" w:cs="Symbol"/>
    </w:rPr>
  </w:style>
  <w:style w:type="character" w:styleId="DefaultParagraphFont">
    <w:name w:val="Default Paragraph Font"/>
    <w:qFormat/>
    <w:rPr/>
  </w:style>
  <w:style w:type="character" w:styleId="PageNumber">
    <w:name w:val="page number"/>
    <w:basedOn w:val="DefaultParagraphFont"/>
    <w:rPr>
      <w:sz w:val="20"/>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NormalIndent">
    <w:name w:val="Normal Indent"/>
    <w:basedOn w:val="Normal"/>
    <w:qFormat/>
    <w:pPr>
      <w:ind w:hanging="0" w:start="720" w:end="0"/>
    </w:pPr>
    <w:rPr/>
  </w:style>
  <w:style w:type="paragraph" w:styleId="DocumentMap">
    <w:name w:val="Document Map"/>
    <w:basedOn w:val="Normal"/>
    <w:qFormat/>
    <w:pPr>
      <w:shd w:fill="000080" w:val="clear"/>
    </w:pPr>
    <w:rPr>
      <w:rFonts w:ascii="Tahoma" w:hAnsi="Tahoma" w:cs="Tahoma"/>
    </w:rPr>
  </w:style>
  <w:style w:type="numbering" w:styleId="WW8Num1">
    <w:name w:val="WW8Num1"/>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oter" Target="footer1.xm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236</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1999-12-10T20:20:00Z</dcterms:created>
  <dc:creator>ECT</dc:creator>
  <dc:description/>
  <dc:language>en-CA</dc:language>
  <cp:lastModifiedBy>gnemec</cp:lastModifiedBy>
  <cp:lastPrinted>1999-12-15T09:05:00Z</cp:lastPrinted>
  <dcterms:modified xsi:type="dcterms:W3CDTF">1999-12-15T13:29:00Z</dcterms:modified>
  <cp:revision>70</cp:revision>
  <dc:subject/>
  <dc:title>Letter format</dc:title>
</cp:coreProperties>
</file>