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ind w:firstLine="432" w:end="0"/>
        <w:rPr/>
      </w:pPr>
      <w:r>
        <w:rPr/>
      </w:r>
    </w:p>
    <w:p>
      <w:pPr>
        <w:pStyle w:val="Heading"/>
        <w:ind w:firstLine="432" w:end="0"/>
        <w:rPr/>
      </w:pPr>
      <w:r>
        <w:rPr/>
      </w:r>
    </w:p>
    <w:p>
      <w:pPr>
        <w:pStyle w:val="Heading"/>
        <w:ind w:firstLine="432" w:end="0"/>
        <w:rPr/>
      </w:pPr>
      <w:r>
        <w:rPr/>
      </w:r>
    </w:p>
    <w:p>
      <w:pPr>
        <w:pStyle w:val="Heading"/>
        <w:ind w:firstLine="432" w:end="0"/>
        <w:rPr/>
      </w:pPr>
      <w:r>
        <w:rPr/>
        <w:t>Ethane Least Unprofitable—For How Long?</w:t>
      </w:r>
    </w:p>
    <w:p>
      <w:pPr>
        <w:pStyle w:val="Heading"/>
        <w:ind w:firstLine="432" w:end="0"/>
        <w:jc w:val="start"/>
        <w:rPr/>
      </w:pPr>
      <w:r>
        <w:rPr>
          <w:rFonts w:cs="Times New Roman" w:ascii="Times New Roman" w:hAnsi="Times New Roman"/>
          <w:b w:val="false"/>
          <w:sz w:val="24"/>
        </w:rPr>
        <w:t xml:space="preserve">With Mt Belvieu ethane north of 60 cents,  its lower shrinkage cost marks it as the “least unprofitable” liquid. But for how long? Ethane’s only use is for making ethylene, and chem plants are cutting back production due to sloppy prices for that olefin.  “Traders are reluctant to take positions even though ethane is under its gas fuel value, especially in the Midwest due to the Aux Sable plant. That’s because when gas prices go back to $6, ethane’s fuel value shrinks to 45 cents and today’s position would be under water,” one astute observer says.  Similarly, propylene makers are selling their propane inventory for its fuel value and MTBE plants are going down because butane is worth more left in the natural gas than is the chemical. Nonetheless, propane and butane prices are expected to stay stronger relative to ethane because they have alternative, non-chemical markets—propane as heating fuel for a cold winter and butane as a vapor pressure additive to gasoline.  </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rFonts w:cs="Times New Roman" w:ascii="Times New Roman" w:hAnsi="Times New Roman"/>
          <w:b w:val="false"/>
          <w:sz w:val="24"/>
        </w:rPr>
        <w:t>But the whole NGL price spectrum could get a boost this month when the lack of olefins and the lack of liquids to make them is felt.  The scarcity value of whatever liquids are left could force them to be rationed by a higher price.</w:t>
      </w:r>
    </w:p>
    <w:p>
      <w:pPr>
        <w:pStyle w:val="Heading"/>
        <w:ind w:firstLine="432" w:end="0"/>
        <w:rPr>
          <w:rFonts w:ascii="Times New Roman" w:hAnsi="Times New Roman" w:cs="Times New Roman"/>
          <w:b w:val="false"/>
          <w:sz w:val="24"/>
        </w:rPr>
      </w:pPr>
      <w:r>
        <w:rPr>
          <w:rFonts w:cs="Times New Roman" w:ascii="Times New Roman" w:hAnsi="Times New Roman"/>
          <w:b w:val="false"/>
          <w:sz w:val="24"/>
        </w:rPr>
      </w:r>
    </w:p>
    <w:p>
      <w:pPr>
        <w:pStyle w:val="Heading"/>
        <w:ind w:firstLine="432" w:end="0"/>
        <w:rPr>
          <w:rFonts w:ascii="Times New Roman" w:hAnsi="Times New Roman" w:cs="Times New Roman"/>
          <w:b w:val="false"/>
          <w:sz w:val="24"/>
        </w:rPr>
      </w:pPr>
      <w:r>
        <w:rPr/>
        <w:t>Gulf of Mexico Plant Bypass Followup</w:t>
      </w:r>
    </w:p>
    <w:p>
      <w:pPr>
        <w:pStyle w:val="Heading"/>
        <w:jc w:val="start"/>
        <w:rPr/>
      </w:pPr>
      <w:r>
        <w:rPr>
          <w:rFonts w:cs="Times New Roman" w:ascii="Times New Roman" w:hAnsi="Times New Roman"/>
          <w:b w:val="false"/>
          <w:sz w:val="24"/>
        </w:rPr>
        <w:tab/>
      </w:r>
      <w:r>
        <w:rPr>
          <w:rFonts w:cs="Times New Roman" w:ascii="Times New Roman" w:hAnsi="Times New Roman"/>
          <w:sz w:val="24"/>
          <w:u w:val="single"/>
        </w:rPr>
        <w:t>Neptune Plant Stays Up.</w:t>
      </w:r>
      <w:r>
        <w:rPr>
          <w:rFonts w:cs="Times New Roman" w:ascii="Times New Roman" w:hAnsi="Times New Roman"/>
          <w:b w:val="false"/>
          <w:sz w:val="24"/>
        </w:rPr>
        <w:t xml:space="preserve"> The December 18 special issue on plant bypass noted that Gulf Coast straddle plants working with keep whole contracts and running lean GOM shelf gas were bypassed by the bushel in December in favor of sending more entrained Btus north to Chicago and New York where citygate prices were $12-$13/MMbtu. Our story noted that plant efficiency was a defense against bypass, but went along with our sources who included Enterprise Products’ new high tech 300 MMcfd Neptune plant in St Mary parish in the list of shuttered Gulf facilities. We had doubts about that, because our own August 7 issue described the plant’s ability to take a 90% ethane cut by burning only 1% fuel. And so far, ethane is the least unprofitable liquid for a normal plant.  We should have checked, because the plant manager informs us that indeed Neptune has stayed up and running. </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rFonts w:cs="Times New Roman" w:ascii="Times New Roman" w:hAnsi="Times New Roman"/>
          <w:sz w:val="24"/>
          <w:u w:val="single"/>
        </w:rPr>
        <w:t>ANR Pipeline Suffers Btu Indigestion.</w:t>
      </w:r>
      <w:r>
        <w:rPr>
          <w:rFonts w:cs="Times New Roman" w:ascii="Times New Roman" w:hAnsi="Times New Roman"/>
          <w:b w:val="false"/>
          <w:sz w:val="24"/>
        </w:rPr>
        <w:t xml:space="preserve"> The massive amounts of liquids Btus being left in the lines going north from the GOM is getting to be more than ANR can absorb. Starting this week ANR is restricting receipts into its Southeast system with Btu content over 1050 Mbtu/Mcf due to “current and </w:t>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pPr>
      <w:r>
        <w:rPr>
          <w:rFonts w:cs="Times New Roman" w:ascii="Times New Roman" w:hAnsi="Times New Roman"/>
          <w:b w:val="false"/>
          <w:sz w:val="24"/>
        </w:rPr>
        <w:t xml:space="preserve">scheduled shutdown of numerous processing plants on ANR’s system.”  The restriction will not apply to receipts from a known processing plant </w:t>
      </w:r>
      <w:r>
        <w:rPr>
          <w:rFonts w:cs="Times New Roman" w:ascii="Times New Roman" w:hAnsi="Times New Roman"/>
          <w:b w:val="false"/>
          <w:i/>
          <w:sz w:val="24"/>
        </w:rPr>
        <w:t>that is in operation (</w:t>
      </w:r>
      <w:r>
        <w:rPr>
          <w:rFonts w:cs="Times New Roman" w:ascii="Times New Roman" w:hAnsi="Times New Roman"/>
          <w:b w:val="false"/>
          <w:sz w:val="24"/>
        </w:rPr>
        <w:t>ital added) and/or where the heat content of the gas exceeds 1050 Mbtu/Mcf, but the C5 portion does not exceed .05 gal/Mcf.</w:t>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t>The Pennaco Sale and the Powder River Coalgas Play</w:t>
      </w:r>
    </w:p>
    <w:p>
      <w:pPr>
        <w:pStyle w:val="Heading"/>
        <w:ind w:firstLine="432" w:end="0"/>
        <w:jc w:val="start"/>
        <w:rPr/>
      </w:pPr>
      <w:r>
        <w:rPr>
          <w:rFonts w:cs="Times New Roman" w:ascii="Times New Roman" w:hAnsi="Times New Roman"/>
          <w:b w:val="false"/>
          <w:sz w:val="24"/>
        </w:rPr>
        <w:t xml:space="preserve">We at </w:t>
      </w:r>
      <w:r>
        <w:rPr>
          <w:rFonts w:cs="Times New Roman" w:ascii="Times New Roman" w:hAnsi="Times New Roman"/>
          <w:b w:val="false"/>
          <w:i/>
          <w:sz w:val="24"/>
        </w:rPr>
        <w:t>GPR</w:t>
      </w:r>
      <w:r>
        <w:rPr>
          <w:rFonts w:cs="Times New Roman" w:ascii="Times New Roman" w:hAnsi="Times New Roman"/>
          <w:b w:val="false"/>
          <w:sz w:val="24"/>
        </w:rPr>
        <w:t xml:space="preserve"> were once analysts of oil industry takeover plays, having studied Marathon, Getty, Gulf and Phillips at the just the right times during that intoxicating period from 1982-85.  So we wish the shareholders of Pennaco well as Marathon (now on the buying side instead of the selling side) makes an offer to buy their company. </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rFonts w:cs="Times New Roman" w:ascii="Times New Roman" w:hAnsi="Times New Roman"/>
          <w:b w:val="false"/>
          <w:sz w:val="24"/>
        </w:rPr>
        <w:t xml:space="preserve"> </w:t>
      </w:r>
      <w:r>
        <w:rPr>
          <w:rFonts w:cs="Times New Roman" w:ascii="Times New Roman" w:hAnsi="Times New Roman"/>
          <w:b w:val="false"/>
          <w:sz w:val="24"/>
        </w:rPr>
        <w:t xml:space="preserve">But all that is no reason to write about it here or to much care what happens to PN shareholders. But what is reason to write care about is the fact that Pennaco is synonymous with the future of the Powder River coalgas play (nothing more, nothing less). It’s a one-trick pony and as it rides, so goes the future of big fixed midstream investments in compressors, gathering lines, trunk lines and amine treating plants made by Western Oil &amp; Gas, Barrettt Resources, CMS Energy, Devon Energy, and the Northern Border and Kinder Morgan MLPs to deliver a potential 25 Tcf to market.  If one is a success, the others will be too. And vice versa.  We do greatly care about that (see </w:t>
      </w:r>
      <w:r>
        <w:rPr>
          <w:rFonts w:cs="Times New Roman" w:ascii="Times New Roman" w:hAnsi="Times New Roman"/>
          <w:b w:val="false"/>
          <w:i/>
          <w:sz w:val="24"/>
        </w:rPr>
        <w:t>GPR’s</w:t>
      </w:r>
      <w:r>
        <w:rPr>
          <w:rFonts w:cs="Times New Roman" w:ascii="Times New Roman" w:hAnsi="Times New Roman"/>
          <w:b w:val="false"/>
          <w:sz w:val="24"/>
        </w:rPr>
        <w:t xml:space="preserve"> analysis in the last two Rockies issues, Dec. 4 and Sept 11.) </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rFonts w:cs="Times New Roman" w:ascii="Times New Roman" w:hAnsi="Times New Roman"/>
          <w:sz w:val="24"/>
          <w:u w:val="single"/>
        </w:rPr>
        <w:t xml:space="preserve">Is the Powder River Play’s Future Worth More than What MRO paid for Pennaco’s Future? </w:t>
      </w:r>
      <w:r>
        <w:rPr>
          <w:rFonts w:cs="Times New Roman" w:ascii="Times New Roman" w:hAnsi="Times New Roman"/>
          <w:b w:val="false"/>
          <w:sz w:val="24"/>
        </w:rPr>
        <w:t xml:space="preserve">We are concerned that Marathon made a bid for Pennaco that sees the Powder River future as far more risky than </w:t>
      </w:r>
      <w:r>
        <w:rPr>
          <w:rFonts w:cs="Times New Roman" w:ascii="Times New Roman" w:hAnsi="Times New Roman"/>
          <w:b w:val="false"/>
          <w:i/>
          <w:sz w:val="24"/>
        </w:rPr>
        <w:t>GPR</w:t>
      </w:r>
      <w:r>
        <w:rPr>
          <w:rFonts w:cs="Times New Roman" w:ascii="Times New Roman" w:hAnsi="Times New Roman"/>
          <w:b w:val="false"/>
          <w:sz w:val="24"/>
        </w:rPr>
        <w:t xml:space="preserve"> and other players currently conceive it. In a nutshell, we think they offered to pay an adequate takeover premium for Pennaco’s currently proved reserves of 200 Bcf in the well-traveled eastern Wyodak fairway just north and southwest of Gillette, but paid nothing for the 600-800 Bcf of probable reserves on Pennaco’s acres across the northern part of the basin, into Montana and west to the Sheridan Wyo.area. That’s where huge untapped Wyodak plus the untested Big George reserves are. That’s where the future of the play as well as the future of Pennaco both reside. But that’s also where the risks are, because nobody will know for six more months what the thick and deep Big George will produce, and getting the state permits to dewater the coals won’t be automatic there. (See </w:t>
      </w:r>
      <w:r>
        <w:rPr>
          <w:rFonts w:cs="Times New Roman" w:ascii="Times New Roman" w:hAnsi="Times New Roman"/>
          <w:b w:val="false"/>
          <w:i/>
          <w:sz w:val="24"/>
        </w:rPr>
        <w:t xml:space="preserve">GPR </w:t>
      </w:r>
      <w:r>
        <w:rPr>
          <w:rFonts w:cs="Times New Roman" w:ascii="Times New Roman" w:hAnsi="Times New Roman"/>
          <w:b w:val="false"/>
          <w:sz w:val="24"/>
        </w:rPr>
        <w:t>Dec 4 2000)  But are the risks so great that the assets are worthless? The timing of the announced friendly deal between the two companies was interestng, coming on Dec..22, just before an important Jan. 3 Wyoming state hearing on water disposal permits for those parts of the play.</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rFonts w:cs="Times New Roman" w:ascii="Times New Roman" w:hAnsi="Times New Roman"/>
          <w:sz w:val="24"/>
          <w:u w:val="single"/>
        </w:rPr>
        <w:t>Our numbers</w:t>
      </w:r>
      <w:r>
        <w:rPr>
          <w:rFonts w:cs="Times New Roman" w:ascii="Times New Roman" w:hAnsi="Times New Roman"/>
          <w:b w:val="false"/>
          <w:sz w:val="24"/>
        </w:rPr>
        <w:t>: At $19/share plus debt, Marathon paid $550 million, or $2.70 for each of Pennaco’s currently booked Mcfs—all of which are reasonably in the bag because they are in the east where water permits are relatively noncontroversial and most of which have in fact already been received. That payment is a 20 cent haircut of Pennaco’s expected $2.90 gross margin (40 cents F&amp;D cost + 70 cents gathering compression &amp; shipping to Glenrock for a CIG pipeline price of $4 with Henry Hub prices at $5-$6.)  The fact that PN gets that cash flow up front with only a 20 cent discount instead of having to wait up to ten years for it represents the takeover premium.</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rFonts w:cs="Times New Roman" w:ascii="Times New Roman" w:hAnsi="Times New Roman"/>
          <w:sz w:val="24"/>
          <w:u w:val="single"/>
        </w:rPr>
        <w:t>But that leaves nothing</w:t>
      </w:r>
      <w:r>
        <w:rPr>
          <w:rFonts w:cs="Times New Roman" w:ascii="Times New Roman" w:hAnsi="Times New Roman"/>
          <w:b w:val="false"/>
          <w:sz w:val="24"/>
        </w:rPr>
        <w:t xml:space="preserve"> for all the rest of the Mcfs in the east plus those under the northern and western acres—potentially four times greater than the proved eastern reserves.It seems that others also think that Marathon should have paid more than nothing for the future of Pennaco and the Powder River Basin play. At presstime Pennaco was trading at 19 5/8, a  premium to Marathon’s bid.  So perhaps PN will be sold to another buyer at a higher price. Marathon has in fact covered itself against such an eventuality—it gets a $15 million penalty payment if its bid doesn’t succeed.  The fearless forecast here is that if the January water permit hearing in Gillette goes well, the market’s premium in Pennaco’s stock goes up.</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pPr>
      <w:r>
        <w:rPr/>
        <w:t>Hedging Maximizes Profit from Processing Plant Bypass</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t>To financially-oriented players, NGLs are worth more dead than alive because they can make more money by not making liquids. They can leverage this game with futures that extend this game over time</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rFonts w:cs="Times New Roman" w:ascii="Times New Roman" w:hAnsi="Times New Roman"/>
          <w:b w:val="false"/>
          <w:sz w:val="24"/>
        </w:rPr>
        <w:t xml:space="preserve">That’s because NGL producers, the plant operators, can make plant bypass generate opportunity to the extent they are hedged </w:t>
      </w:r>
      <w:r>
        <w:rPr>
          <w:rFonts w:cs="Times New Roman" w:ascii="Times New Roman" w:hAnsi="Times New Roman"/>
          <w:b w:val="false"/>
          <w:i/>
          <w:sz w:val="24"/>
        </w:rPr>
        <w:t>into the future</w:t>
      </w:r>
      <w:r>
        <w:rPr>
          <w:rFonts w:cs="Times New Roman" w:ascii="Times New Roman" w:hAnsi="Times New Roman"/>
          <w:b w:val="false"/>
          <w:sz w:val="24"/>
        </w:rPr>
        <w:t xml:space="preserve"> to buy natural gas for shrinkage makeup on paper low and then turn around and sell it high. Similarly the industrial consumers can do the same thing to the extent they are using the forward futures curve to buy paper liquids low and sell them high, in the process giving up their feedstock and shutting down their plants. </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t xml:space="preserve">In the Dec 18 </w:t>
      </w:r>
      <w:r>
        <w:rPr>
          <w:rFonts w:cs="Times New Roman" w:ascii="Times New Roman" w:hAnsi="Times New Roman"/>
          <w:b w:val="false"/>
          <w:i/>
          <w:sz w:val="24"/>
        </w:rPr>
        <w:t>GPR</w:t>
      </w:r>
      <w:r>
        <w:rPr>
          <w:rFonts w:cs="Times New Roman" w:ascii="Times New Roman" w:hAnsi="Times New Roman"/>
          <w:b w:val="false"/>
          <w:sz w:val="24"/>
        </w:rPr>
        <w:t xml:space="preserve">, the special markets issue on plant bypass, we pointed out </w:t>
      </w:r>
      <w:r>
        <w:rPr>
          <w:rFonts w:cs="Times New Roman" w:ascii="Times New Roman" w:hAnsi="Times New Roman"/>
          <w:b w:val="false"/>
          <w:i/>
          <w:sz w:val="24"/>
        </w:rPr>
        <w:t>that just for that month,</w:t>
      </w:r>
      <w:r>
        <w:rPr>
          <w:rFonts w:cs="Times New Roman" w:ascii="Times New Roman" w:hAnsi="Times New Roman"/>
          <w:b w:val="false"/>
          <w:sz w:val="24"/>
        </w:rPr>
        <w:t xml:space="preserve"> December 2000, plants with keep whole contracts could make a bundle by not running.  The plants would simply pay their producers for 100% of their Btus, as their contract calls for. But the gas would be passed around the plant instead of run through it, where 10-15% would be consumed to make liquids. Meanwhile, the plant would would have already purchased an amount equal to that shrinkage on the open market in the expectation of using that to compensate, or “keep whole the producer” for his gas that was used up.  But since the gas would have been bought during December bid week for $6/Mcf, for shrinkage that is now not going to happen, it could be sold back on the December spot market for the $8.50 then prevailing. That 42% profit puts to shame what the plant could make by turning the gas into NGLs.</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pPr>
      <w:r>
        <w:rPr>
          <w:rFonts w:cs="Times New Roman" w:ascii="Times New Roman" w:hAnsi="Times New Roman"/>
          <w:sz w:val="24"/>
          <w:u w:val="single"/>
        </w:rPr>
        <w:t xml:space="preserve">What we didn’t point out was that that princely arbitrage would not have to be a one-month wonder if the plant operator used futures. </w:t>
      </w:r>
      <w:r>
        <w:rPr>
          <w:rFonts w:cs="Times New Roman" w:ascii="Times New Roman" w:hAnsi="Times New Roman"/>
          <w:b w:val="false"/>
          <w:sz w:val="24"/>
        </w:rPr>
        <w:t>It could continue month after month if  before December, when gas was $6 or less, the plant operator had had the foresight to buy forward futures contracts for future months covering his anticipated shrinkage at that price—or for even less. In November, for example, the forward futures curve for the next 12 months averaged $5.  What’s even better, why wait? The plant could sell all those now suddenly revalued forward contracts at once during December for $5-$8 or now for $5-$9.  That would simply mean the producer would have to be ready and willing to keep his plant shut for a year if he couldn’t afford to buy new shrinkage gas on the open market at a later date.  .</w:t>
      </w:r>
    </w:p>
    <w:p>
      <w:pPr>
        <w:pStyle w:val="Heading"/>
        <w:ind w:firstLine="432" w:end="0"/>
        <w:jc w:val="start"/>
        <w:rPr/>
      </w:pPr>
      <w:r>
        <w:rPr>
          <w:rFonts w:cs="Times New Roman" w:ascii="Times New Roman" w:hAnsi="Times New Roman"/>
          <w:sz w:val="24"/>
          <w:u w:val="single"/>
        </w:rPr>
        <w:t>Chemical plants have also leveraged plant shutdowns with hedging.</w:t>
      </w:r>
      <w:r>
        <w:rPr>
          <w:rFonts w:cs="Times New Roman" w:ascii="Times New Roman" w:hAnsi="Times New Roman"/>
          <w:b w:val="false"/>
          <w:sz w:val="24"/>
        </w:rPr>
        <w:t xml:space="preserve">  </w:t>
      </w:r>
      <w:r>
        <w:rPr>
          <w:rFonts w:cs="Times New Roman" w:ascii="Times New Roman" w:hAnsi="Times New Roman"/>
          <w:b w:val="false"/>
          <w:i/>
          <w:sz w:val="24"/>
        </w:rPr>
        <w:t>GPR</w:t>
      </w:r>
      <w:r>
        <w:rPr>
          <w:rFonts w:cs="Times New Roman" w:ascii="Times New Roman" w:hAnsi="Times New Roman"/>
          <w:b w:val="false"/>
          <w:sz w:val="24"/>
        </w:rPr>
        <w:t xml:space="preserve"> discovered one very major petrochemical producer who had a fixed contract (similar to a futures contract) to buy physical propane for 57 cents/gal from November through February.  The producer is making 20-30 cents/gallon by selling that propane back at spot every month to the home heating market instead of using it to make propylene.  Makers of lower-value ammonia and fertilizer are even more obvious candidates to bypass their plants by selling dear contracts for gas they bought cheap. The December 18 issue of</w:t>
      </w:r>
      <w:r>
        <w:rPr>
          <w:rFonts w:cs="Times New Roman" w:ascii="Times New Roman" w:hAnsi="Times New Roman"/>
          <w:b w:val="false"/>
          <w:i/>
          <w:sz w:val="24"/>
        </w:rPr>
        <w:t xml:space="preserve"> Natural Gas Intelligence</w:t>
      </w:r>
      <w:r>
        <w:rPr>
          <w:rFonts w:cs="Times New Roman" w:ascii="Times New Roman" w:hAnsi="Times New Roman"/>
          <w:b w:val="false"/>
          <w:sz w:val="24"/>
        </w:rPr>
        <w:t xml:space="preserve"> quotes Duke Energy’s director of strategic planning Ken Nyiri explaining why Mississippi Chemical shut down ammonia plants which enabled them to sell a year’s worth of futures contracts for $9 that they had bought for $5 in November. “They would have broken even making ammonia with $5 gas, but made $4/Mcf by selling the gas.” As a result, the firm made $16 million in its fiscal Dec 31 2Q. </w:t>
      </w:r>
    </w:p>
    <w:p>
      <w:pPr>
        <w:pStyle w:val="Heading6"/>
        <w:ind w:hanging="0" w:start="0"/>
        <w:jc w:val="start"/>
        <w:rPr>
          <w:rFonts w:ascii="Times New Roman" w:hAnsi="Times New Roman" w:cs="Times New Roman"/>
          <w:b w:val="false"/>
          <w:sz w:val="36"/>
        </w:rPr>
      </w:pPr>
      <w:r>
        <w:rPr>
          <w:rFonts w:cs="Times New Roman" w:ascii="Times New Roman" w:hAnsi="Times New Roman"/>
          <w:b w:val="false"/>
          <w:sz w:val="36"/>
        </w:rPr>
      </w:r>
    </w:p>
    <w:p>
      <w:pPr>
        <w:pStyle w:val="Heading6"/>
        <w:ind w:firstLine="432" w:start="2592" w:end="0"/>
        <w:jc w:val="start"/>
        <w:rPr/>
      </w:pPr>
      <w:r>
        <w:rPr/>
        <w:t>Region 2: MidContinent</w:t>
      </w:r>
    </w:p>
    <w:p>
      <w:pPr>
        <w:pStyle w:val="Normal"/>
        <w:jc w:val="center"/>
        <w:rPr>
          <w:rFonts w:ascii="Arial" w:hAnsi="Arial" w:cs="Arial"/>
          <w:b/>
          <w:sz w:val="36"/>
        </w:rPr>
      </w:pPr>
      <w:r>
        <w:rPr>
          <w:rFonts w:eastAsia="Arial" w:cs="Arial" w:ascii="Arial" w:hAnsi="Arial"/>
          <w:b/>
          <w:sz w:val="36"/>
        </w:rPr>
        <w:t xml:space="preserve"> </w:t>
      </w:r>
      <w:r>
        <w:rPr>
          <w:rFonts w:cs="Arial" w:ascii="Arial" w:hAnsi="Arial"/>
          <w:b/>
          <w:sz w:val="36"/>
        </w:rPr>
        <w:t>More Rich Gas on Colo Plains &amp; Okla Hugoton</w:t>
      </w:r>
    </w:p>
    <w:p>
      <w:pPr>
        <w:pStyle w:val="Normal"/>
        <w:rPr/>
      </w:pPr>
      <w:r>
        <w:rPr/>
        <w:tab/>
      </w:r>
      <w:r>
        <w:rPr>
          <w:b/>
          <w:i/>
          <w:sz w:val="24"/>
        </w:rPr>
        <w:t>Editor’s Note</w:t>
      </w:r>
      <w:r>
        <w:rPr/>
        <w:t xml:space="preserve">: </w:t>
      </w:r>
      <w:r>
        <w:rPr>
          <w:sz w:val="24"/>
        </w:rPr>
        <w:t>There’s an interconnected symmetry which binds the following stories together. First, production is actually firming in two adjacent, long-lived areas of shallow tight blanket sand output that have been mainstays of Midwest production but were previously thought to be in irrevocable decline.  These areas are eastern Colorado’s D-J Basin, especially theWattenberg field and the Oklahoma panhandle portion of the Hugoton field.  In  the D-J, new fracture and completion techniques are reviving production in the same wellbores drilled to the dominant Codell formation. In Oklahoma, new wells are finding deeper production beneath the bellwether Chase formation. Second, the same midstream operators—HS Resources in Colorado and Duke Energy Field Services in both Colorado and Oklahoma—are boosting gathering, compression and processing assets to process the firming quantities of rich 3-4 gpm gas in both states. Third, the firming liquids production from both areas is flowing to the Texas Panhandle and to the fractionation towers at Oneok’s Bushton plant and the Conway complex in central Kansas. These liquids lines are now jammed full, suggesting that that’s where the next expansion is going to come.</w:t>
      </w:r>
    </w:p>
    <w:p>
      <w:pPr>
        <w:pStyle w:val="Normal"/>
        <w:rPr>
          <w:sz w:val="24"/>
        </w:rPr>
      </w:pPr>
      <w:r>
        <w:rPr>
          <w:sz w:val="24"/>
        </w:rPr>
      </w:r>
    </w:p>
    <w:p>
      <w:pPr>
        <w:pStyle w:val="Normal"/>
        <w:ind w:firstLine="432" w:end="0"/>
        <w:rPr/>
      </w:pPr>
      <w:r>
        <w:rPr>
          <w:sz w:val="24"/>
        </w:rPr>
        <w:t>The above makes it clear that the D-J Basin on Colorado’s Eastern Plains is arguably at least as connected to the MidContinent region as it is to the Rockies: Residue gas flows southwest to Denver but NGLs go southeast and east to the Texas Panhandle and to Kansas.</w:t>
      </w:r>
    </w:p>
    <w:p>
      <w:pPr>
        <w:pStyle w:val="Normal"/>
        <w:rPr>
          <w:sz w:val="24"/>
        </w:rPr>
      </w:pPr>
      <w:r>
        <w:rPr>
          <w:sz w:val="24"/>
        </w:rPr>
      </w:r>
    </w:p>
    <w:p>
      <w:pPr>
        <w:pStyle w:val="Normal"/>
        <w:rPr/>
      </w:pPr>
      <w:r>
        <w:rPr>
          <w:sz w:val="24"/>
        </w:rPr>
        <w:tab/>
      </w:r>
      <w:r>
        <w:rPr>
          <w:b/>
          <w:sz w:val="24"/>
          <w:u w:val="single"/>
        </w:rPr>
        <w:t>HS Resources: 250 Mmcfd Wattenberg Plant Gathering System &amp; New 30 MMcfd Skid Mounted Processing Plant.</w:t>
      </w:r>
      <w:r>
        <w:rPr>
          <w:sz w:val="24"/>
        </w:rPr>
        <w:t xml:space="preserve">  HS bought this gathering system just before Thanksgiving 1999 from Kinder Morgan. Kinder dumped the system into the pot of unwanted ex-KN Energy assets that it was selling off. (The Bushton plant went to Oneok in the same process.) To handle rising production, HS started to build up the system’s capacity by 50 MMcfd to the 250 MMcf/d level by spending $8 million to add 6000 hp of new compression. When complete, that will stuff BP Amoco’s 150 MMmcfd Wattenberg processing plant to about 190 MMcfd, so far past nameplate capacity that “an unacceptable amount of liquids will be left in the residue gas stream,” an HS source says. “An efficient cryo plant like Amoco’s should be able to squeeze more than 15,000 b/d out of that much gas if it’s working with 3-4 gpm feedstock. The problem is that once the plant gets beyond 170 MMcfd of feed it’s biting off more than it can chew, and it drops below its maximum efficient rate of 88 bbl/MMcf/d of liquids recovery.”  </w:t>
      </w:r>
    </w:p>
    <w:p>
      <w:pPr>
        <w:pStyle w:val="Normal"/>
        <w:ind w:firstLine="432" w:end="0"/>
        <w:rPr>
          <w:sz w:val="24"/>
        </w:rPr>
      </w:pPr>
      <w:r>
        <w:rPr>
          <w:sz w:val="24"/>
        </w:rPr>
      </w:r>
    </w:p>
    <w:p>
      <w:pPr>
        <w:pStyle w:val="Normal"/>
        <w:ind w:firstLine="432" w:end="0"/>
        <w:rPr/>
      </w:pPr>
      <w:r>
        <w:rPr>
          <w:sz w:val="24"/>
        </w:rPr>
        <w:t>What’s more, HS had yet another 30 MMcf/d that was ready to flow but had nowhere to go. Obviously, a plant expansion was called for, but Amoco was not eager to go all the way to build out its cryo plant, since that might become an expensive stranded asset due to the steep initial decline rate of Wattenberg area natural gas. The new gas coming on has a hyperbolic decline rate for the first four years, after which it stabilizes but only at about 25% of initial production.  So perhaps a less permanent, less expensive addition to capacity was called for.</w:t>
      </w:r>
    </w:p>
    <w:p>
      <w:pPr>
        <w:pStyle w:val="Normal"/>
        <w:ind w:firstLine="432" w:end="0"/>
        <w:rPr>
          <w:sz w:val="24"/>
        </w:rPr>
      </w:pPr>
      <w:r>
        <w:rPr>
          <w:sz w:val="24"/>
        </w:rPr>
      </w:r>
    </w:p>
    <w:p>
      <w:pPr>
        <w:pStyle w:val="Normal"/>
        <w:ind w:firstLine="432" w:end="0"/>
        <w:rPr/>
      </w:pPr>
      <w:r>
        <w:rPr>
          <w:sz w:val="24"/>
        </w:rPr>
        <w:t xml:space="preserve"> </w:t>
      </w:r>
      <w:r>
        <w:rPr>
          <w:b/>
          <w:sz w:val="24"/>
          <w:u w:val="single"/>
        </w:rPr>
        <w:t>Enter HS’ little skid-mounted 30-50 MMcf/d refrigeration facility</w:t>
      </w:r>
      <w:r>
        <w:rPr>
          <w:sz w:val="24"/>
        </w:rPr>
        <w:t xml:space="preserve"> to handle the extra load. The skid plant along with the extra gathering capacity went into operation this week at 20 MMcfd.   Full operation will happen at about April. The rush to take some extra load off Wattenberg to make it more efficient is not quite so urgent as it was, however, due to the advent of $9 gas.</w:t>
      </w:r>
      <w:r>
        <w:rPr>
          <w:b/>
          <w:sz w:val="24"/>
        </w:rPr>
        <w:t xml:space="preserve"> </w:t>
      </w:r>
      <w:r>
        <w:rPr>
          <w:sz w:val="24"/>
        </w:rPr>
        <w:t xml:space="preserve">At presstime CIG was offering $8.95 in Colorado and $9.75 across the border at Cheyenne Wyo. At least to the extent keep whole contracts are involved, the Wattenberg plant can go on and be somewhat inefficient because that will extra Btus in that pricey gas sales stream. (See </w:t>
      </w:r>
      <w:r>
        <w:rPr>
          <w:i/>
          <w:sz w:val="24"/>
        </w:rPr>
        <w:t>GPR</w:t>
      </w:r>
      <w:r>
        <w:rPr>
          <w:sz w:val="24"/>
        </w:rPr>
        <w:t xml:space="preserve"> December 18 for an extensive discussion of how keep whole contracts encourage plant bypass.)</w:t>
      </w:r>
      <w:r>
        <w:rPr>
          <w:b/>
          <w:sz w:val="24"/>
        </w:rPr>
        <w:t xml:space="preserve"> </w:t>
      </w:r>
      <w:r>
        <w:rPr>
          <w:sz w:val="24"/>
        </w:rPr>
        <w:t xml:space="preserve"> At the very least, however, the plant will have to run to get the rich 3-4 gpm gas down to pipeline spec. As for HS’ skid-mounted plant, it’s going to be operated in a dewpoint control mode only “to enable us to sell gas,” our HS source tells us. The plant only has a refrigeration unit, but even that can still recover up to 1000 b/d of C3+. That unit will have to wait in the wings for a while before it gets the call to go onstream. </w:t>
      </w:r>
    </w:p>
    <w:p>
      <w:pPr>
        <w:pStyle w:val="Normal"/>
        <w:rPr>
          <w:sz w:val="24"/>
        </w:rPr>
      </w:pPr>
      <w:r>
        <w:rPr>
          <w:sz w:val="24"/>
        </w:rPr>
      </w:r>
    </w:p>
    <w:p>
      <w:pPr>
        <w:pStyle w:val="Normal"/>
        <w:rPr/>
      </w:pPr>
      <w:r>
        <w:rPr>
          <w:sz w:val="24"/>
        </w:rPr>
        <w:tab/>
      </w:r>
      <w:r>
        <w:rPr>
          <w:b/>
          <w:sz w:val="24"/>
          <w:u w:val="single"/>
        </w:rPr>
        <w:t>The HS Value Chain—Will It Include Amoco’s Wattenberg Plant as Well?</w:t>
      </w:r>
      <w:r>
        <w:rPr>
          <w:sz w:val="24"/>
        </w:rPr>
        <w:t xml:space="preserve">. HS was the obvious buyer of the gathering lines since along with Patina O&amp;G it is one of the two largest D-J Basin producers. HS operates about 2600 wells with 180 MMcf/d gross production; Patina has 3600 wells and 90 MMcfd gross output. HS has a nice value chain with the Wattenberg gathering pipes since they carry most of its DJ Basin equity gas.  HS controls 160 MMcfd of today’s 190 MMcf/d throughput; Duke Field Services controls the rest. Of the 160 MMcf/d, 50% is HS equity gas, the rest of owned by Patina and Narco.  But this may only be the beginning for HS. Yes, the value chain would be nicely enhanced if HS also bought the Amoco processing plant that the pipes feed into.  That may come about as a further step in HS acquisition process.  In January 1998, the Denver independent bought BP Amoco’s substantial DJ Basin production, then last year added the gathering lines that carry it and now has its sights trained on Amoco’s Wattenberg plant as the final piece of the chain. HS already owns 7% and has right of first refusal to buy should Amoco sell. That’s not an unlikley event since Amoco itself doesn’t have any of its own production behind its plant anymore, which makes the plant an isolated asset for this international major that is now controlled from London. HS, which now has Amoco’s gas, has renewed its dedication through the gathering system to the plant.   </w:t>
      </w:r>
    </w:p>
    <w:p>
      <w:pPr>
        <w:pStyle w:val="Normal"/>
        <w:rPr>
          <w:sz w:val="24"/>
        </w:rPr>
      </w:pPr>
      <w:r>
        <w:rPr>
          <w:sz w:val="24"/>
        </w:rPr>
      </w:r>
    </w:p>
    <w:p>
      <w:pPr>
        <w:pStyle w:val="Normal"/>
        <w:rPr/>
      </w:pPr>
      <w:r>
        <w:rPr/>
        <w:tab/>
      </w:r>
      <w:r>
        <w:rPr>
          <w:b/>
          <w:sz w:val="24"/>
          <w:u w:val="single"/>
        </w:rPr>
        <w:t>Duke Energy Field Services: 58 MMcf/d Roggen Processing Plant  (Weld Co Colo)</w:t>
      </w:r>
      <w:r>
        <w:rPr>
          <w:sz w:val="24"/>
        </w:rPr>
        <w:t xml:space="preserve">  About 50 miles northeast of Wattenberg along I-76 sits this modern cryo plant which DEFS literally reconstructed from several pre-existing trains installed somewhat haphazardly by previous owners Damson and Snyder O&amp;G.  In the process Duke more than doubled the capacity here, from 25 MMcfd to the current rating to handle the increased D-J Basin gas flows. Most of the extra 33 MMcfd is coming from Denver’s Patina O&amp;G, which now owns and operates the D-J Basin production once run by Snyder and Gerrity O&amp;G. Gerrity collapsed some five years ago due to a mismanaged over-expansion, while Synder’s entrepreneurial owners sold out to concentrate their energies on MidContinent operator Range Resources. Patina plans to keep Duke’s Roggen expansion full by boosting capital expenditures in 2001 by over 40%. </w:t>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jc w:val="start"/>
        <w:rPr/>
      </w:pPr>
      <w:r>
        <w:rPr>
          <w:rFonts w:cs="Times New Roman" w:ascii="Times New Roman" w:hAnsi="Times New Roman"/>
          <w:b w:val="false"/>
          <w:sz w:val="24"/>
        </w:rPr>
        <w:tab/>
      </w:r>
      <w:r>
        <w:rPr>
          <w:rFonts w:cs="Times New Roman" w:ascii="Times New Roman" w:hAnsi="Times New Roman"/>
          <w:sz w:val="24"/>
          <w:u w:val="single"/>
        </w:rPr>
        <w:t>MidContinent Liquids Destination for Both Plant Expansions—3000 b/d</w:t>
      </w:r>
      <w:r>
        <w:rPr>
          <w:rFonts w:cs="Times New Roman" w:ascii="Times New Roman" w:hAnsi="Times New Roman"/>
          <w:b w:val="false"/>
          <w:sz w:val="24"/>
        </w:rPr>
        <w:t>. What’s interesting here is the MidContinent destination of the increased liquids output from both the Roggen expansion—about 2,200 b/d—and from the HS skid-mounted plant at Wattenberg described above—about 1,000 b/d.  The logical destination would be the fractionation complexes at Bushton and Conway, Kan. to the east. That’s where Amoco’s Wattenberg plant’s baseload output goes now vis Amoco’s own 6” liquids line. For the moment, the issue is somewhat moot due to the fact that at least some of the rich gas is going to be left entrained to capture the current gas prices being quoted by the pipelines. Even without shipping fuel and frac charges, $9.75 gas at Cheyenne clobbers even 80 cent propane at Conway offered to lure heating supplies during the cold.  That is, for any package of gas that goes under a keep whole contract. Duke Field Services has an extensive roster of percent-of-proceeds contracts in the MidContinent region which may be keeping Roggen open for business, expansion and all. One way or another, Amoco will keep liquids flowing in its line (where it pays only variable cost) because it needs them on the Gulf Coast for its chemical operations.</w:t>
      </w:r>
    </w:p>
    <w:p>
      <w:pPr>
        <w:pStyle w:val="Heading"/>
        <w:jc w:val="start"/>
        <w:rPr>
          <w:rFonts w:ascii="Times New Roman" w:hAnsi="Times New Roman" w:cs="Times New Roman"/>
          <w:b w:val="false"/>
          <w:sz w:val="24"/>
        </w:rPr>
      </w:pPr>
      <w:r>
        <w:rPr>
          <w:rFonts w:cs="Times New Roman" w:ascii="Times New Roman" w:hAnsi="Times New Roman"/>
          <w:b w:val="false"/>
          <w:sz w:val="24"/>
        </w:rPr>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t>However, what happens after things get back to normal?  For sure, the entire base 15,000 b/d Wattenberg raw mix will resume its course to Bushton via Amoco’s 6 “ NGL line.  But there is no room in the line for the extra liquids from Duke’s and HS’ expansions.  Amoco declined Duke’s request to expand the line to handle Roggen’s 2000 b/d increment, so Duke itself found a takeaway strategy for the extra NGLs by putting some extra horsepower on the 6 “ GPM line that leads from Canada through eastern Colorado on its way to the Borger Tex. area.  HS plans to sell its skid unit output in Denver.</w:t>
      </w:r>
    </w:p>
    <w:p>
      <w:pPr>
        <w:pStyle w:val="Heading"/>
        <w:ind w:firstLine="432" w:end="0"/>
        <w:jc w:val="start"/>
        <w:rPr>
          <w:rFonts w:ascii="Times New Roman" w:hAnsi="Times New Roman" w:cs="Times New Roman"/>
          <w:b w:val="false"/>
          <w:sz w:val="24"/>
        </w:rPr>
      </w:pPr>
      <w:r>
        <w:rPr>
          <w:rFonts w:cs="Times New Roman" w:ascii="Times New Roman" w:hAnsi="Times New Roman"/>
          <w:b w:val="false"/>
          <w:sz w:val="24"/>
        </w:rPr>
      </w:r>
    </w:p>
    <w:p>
      <w:pPr>
        <w:pStyle w:val="Normal"/>
        <w:tabs>
          <w:tab w:val="left" w:pos="432" w:leader="none"/>
        </w:tabs>
        <w:rPr/>
      </w:pPr>
      <w:r>
        <w:rPr/>
        <w:tab/>
      </w:r>
      <w:r>
        <w:rPr>
          <w:b/>
          <w:sz w:val="24"/>
          <w:u w:val="single"/>
        </w:rPr>
        <w:t>The Roggen Plant’s Involved History</w:t>
      </w:r>
      <w:r>
        <w:rPr>
          <w:sz w:val="24"/>
        </w:rPr>
        <w:t>. Roggen was once the center of  Snyder’s old D-J Basin empire. When Snyder liquidated in 1995 PanEnergy (now Duke) bought the plant and attached it to the old Associated Natural Gas system in the area, but then closed it in 1997. In late July 1999, the plant was restarted in a completely new configuration.  At the height of Snyder’s ambitions for Roggen, the plant was built up to total capacity of 60 MMcfd with three trains cobbled together.  The original core plant was a 16 MMcfd cryo skid installed by T.H.Russell in 1981.  Then Damson, the owner before Snyder, added on a 14 MMcfd Randall expander plant in 1986.  The big stepout came in 1992 when Snyder hired Darrell Knight out of Jourdanton TX to relocate a third cryo plant from the bogs of Louisiana and patch it all together with the other two skids.  This was the very first cryo plant built by PetroFac of Tyler TX and installed in 1986.  Snyder’s expansion was described in some detail in the GPR of Aug 31’92, pp.5-6.  When Duke’s engineering team revisited this site in January 1999, they</w:t>
      </w:r>
      <w:r>
        <w:rPr/>
        <w:t xml:space="preserve"> </w:t>
      </w:r>
      <w:r>
        <w:rPr>
          <w:sz w:val="24"/>
        </w:rPr>
        <w:t xml:space="preserve">concluded that none of the existing trains could be operated safely.  So the rehab project involved scavenging the best parts from </w:t>
      </w:r>
      <w:r>
        <w:rPr>
          <w:i/>
          <w:sz w:val="24"/>
        </w:rPr>
        <w:t>all three processing trains</w:t>
      </w:r>
      <w:r>
        <w:rPr>
          <w:sz w:val="24"/>
        </w:rPr>
        <w:t xml:space="preserve"> to assemble a wholly new plant.  In the course of the project, they tore out all piping and re-piped the whole plant, rebuilt all the compressors and reconfigured the gas flows, and replaced the instrument and control system.  With all the hardware left unused, there is probably room for further expansion beyond the current 55 MMcf/d.</w:t>
      </w:r>
    </w:p>
    <w:p>
      <w:pPr>
        <w:pStyle w:val="Normal"/>
        <w:tabs>
          <w:tab w:val="left" w:pos="432" w:leader="none"/>
        </w:tabs>
        <w:rPr>
          <w:sz w:val="24"/>
        </w:rPr>
      </w:pPr>
      <w:r>
        <w:rPr>
          <w:sz w:val="24"/>
        </w:rPr>
      </w:r>
    </w:p>
    <w:p>
      <w:pPr>
        <w:pStyle w:val="Normal"/>
        <w:tabs>
          <w:tab w:val="left" w:pos="432" w:leader="none"/>
        </w:tabs>
        <w:rPr/>
      </w:pPr>
      <w:r>
        <w:rPr>
          <w:sz w:val="24"/>
        </w:rPr>
        <w:tab/>
      </w:r>
      <w:r>
        <w:rPr>
          <w:b/>
          <w:sz w:val="24"/>
          <w:u w:val="single"/>
        </w:rPr>
        <w:t>Production Increases in the Oklahoma Hugoton Continue</w:t>
      </w:r>
      <w:r>
        <w:rPr>
          <w:sz w:val="24"/>
        </w:rPr>
        <w:t xml:space="preserve">. As revealed in the Nov. 6 </w:t>
      </w:r>
      <w:r>
        <w:rPr>
          <w:i/>
          <w:sz w:val="24"/>
        </w:rPr>
        <w:t>GPR</w:t>
      </w:r>
      <w:r>
        <w:rPr>
          <w:sz w:val="24"/>
        </w:rPr>
        <w:t>, the Oklahoma portion of the Hugoton field is firming, not declining, because it fortuitously did not participate in the disappointing blanket Chase formation 320-acre downspacing ordered in 1989 across the state line by the Kansas Corporation Commission. In the Oklahoma Panhandle increased production is from deeper formations while the shallow Chase, here still just drilled on 640-acre spacing,  continues on its normal slow 4% decline.   The deeper stuff mostly comes from the Morrow formation.  A typical $250,000 well will come in at 5-10 MMcf/d, six months later it will stabilize at 1-2 MMcf/d.  The richness is typical of the Hugoton area,  3-4 gpm, very attractive for processing.</w:t>
      </w:r>
    </w:p>
    <w:p>
      <w:pPr>
        <w:pStyle w:val="Normal"/>
        <w:tabs>
          <w:tab w:val="left" w:pos="432" w:leader="none"/>
        </w:tabs>
        <w:rPr>
          <w:sz w:val="24"/>
        </w:rPr>
      </w:pPr>
      <w:r>
        <w:rPr>
          <w:sz w:val="24"/>
        </w:rPr>
      </w:r>
    </w:p>
    <w:p>
      <w:pPr>
        <w:pStyle w:val="Normal"/>
        <w:tabs>
          <w:tab w:val="left" w:pos="432" w:leader="none"/>
        </w:tabs>
        <w:rPr/>
      </w:pPr>
      <w:r>
        <w:rPr>
          <w:sz w:val="24"/>
        </w:rPr>
        <w:tab/>
      </w:r>
      <w:r>
        <w:rPr>
          <w:b/>
          <w:sz w:val="24"/>
          <w:u w:val="single"/>
        </w:rPr>
        <w:t>Duke Energy Field Services: 250 MMcfd Sherman Processing Plant, Hansford Co TX., Oneok Field Services: 1000 MMcfd Bushton Processing Plant Rice Co Kan</w:t>
      </w:r>
      <w:r>
        <w:rPr>
          <w:sz w:val="24"/>
        </w:rPr>
        <w:t xml:space="preserve">.  As is the case in Colorado’s D-J Basin just to the northwest,  rising liquids output in the Oklahoma Pandhandle is being sent south to the Texas Panhandle and to central Kansas’ Bushton plant.  Producers are laying their own lines over to the Northern Natural mainline, which takes the wet gas north to be squeezed out at the Bushton straddle plant.  Duke Energy Field Services is providing an attractive alternative to that by building a separate high pressure gathering system to feed its trunk line going south to the Sherman plant. “If we put the new gas into the existing gathering system which serves the Chase formation, it would raise line pressures to the point where wells to the more depleted Chase reservoir would be squeezed out.  Those lines were running at just 50 psi before the deeper stuff came on. The new lines enable us to produce the new stuff without losing the old,” a Duke source says. Some 50 wells tied into Duke’s new line are now producing an incremental 60 MMcf/d. As a result, the Sherman plant is now back up to capacity from the 190 MMcf/d level where it was languishing.  Now a fully modernized cryo unit, the plant was built by Phillips in the 1940s for Hugoton gas.  </w:t>
      </w:r>
    </w:p>
    <w:p>
      <w:pPr>
        <w:pStyle w:val="Normal"/>
        <w:tabs>
          <w:tab w:val="left" w:pos="432" w:leader="none"/>
        </w:tabs>
        <w:rPr>
          <w:sz w:val="24"/>
        </w:rPr>
      </w:pPr>
      <w:r>
        <w:rPr>
          <w:sz w:val="24"/>
        </w:rPr>
      </w:r>
    </w:p>
    <w:p>
      <w:pPr>
        <w:pStyle w:val="Heading1"/>
        <w:tabs>
          <w:tab w:val="left" w:pos="432" w:leader="none"/>
        </w:tabs>
        <w:ind w:hanging="0" w:start="0"/>
        <w:rPr/>
      </w:pPr>
      <w:r>
        <w:rPr/>
        <w:t>Duke Consolidates Its Central Oklahoma Empire</w:t>
      </w:r>
    </w:p>
    <w:p>
      <w:pPr>
        <w:pStyle w:val="Normal"/>
        <w:tabs>
          <w:tab w:val="left" w:pos="432" w:leader="none"/>
        </w:tabs>
        <w:rPr/>
      </w:pPr>
      <w:r>
        <w:rPr>
          <w:sz w:val="24"/>
        </w:rPr>
        <w:tab/>
        <w:tab/>
      </w:r>
      <w:r>
        <w:rPr>
          <w:b/>
          <w:sz w:val="24"/>
          <w:u w:val="single"/>
        </w:rPr>
        <w:t xml:space="preserve">Twelve Plants Rationalized into Eight.  </w:t>
      </w:r>
      <w:r>
        <w:rPr>
          <w:sz w:val="24"/>
        </w:rPr>
        <w:t xml:space="preserve">The GPM and Conoco acquisitions (See </w:t>
      </w:r>
      <w:r>
        <w:rPr>
          <w:i/>
          <w:sz w:val="24"/>
        </w:rPr>
        <w:t>GPR</w:t>
      </w:r>
      <w:r>
        <w:rPr>
          <w:sz w:val="24"/>
        </w:rPr>
        <w:t xml:space="preserve"> Jan 17 2000) gave Duke the dominant position in Central Oklahoma’s famous and still prolific Golden Trend fairway.  Not surprisingly, the smallest plants—West Edmond, Guthrie and Carney—were taken down, not only because of their size but also because they are on a generally west to east line starting next to  the massive 165 MMcf/d Kingfisher plant, which had plenty of space available. In 1999 the plant just northwest of Oklahoma City at the north end of the fairway was running at only 95 MMcf/d, or just 58% of capacity..This week a wet gas line connecting the three smaller plants with Kingfisher was due to be completed, allowing the shutdown process to begin. The plants will be mothballed as Kingfisher is made ready to handle the gas, a process that is expected to be complete by the end of 1Q 2001.  Kingfisher actually required a debottlenecking upgrade to get back up to its nameplate 165 MMcf/d capacity.</w:t>
      </w:r>
    </w:p>
    <w:p>
      <w:pPr>
        <w:pStyle w:val="Normal"/>
        <w:tabs>
          <w:tab w:val="left" w:pos="432" w:leader="none"/>
        </w:tabs>
        <w:rPr>
          <w:sz w:val="24"/>
        </w:rPr>
      </w:pPr>
      <w:r>
        <w:rPr>
          <w:sz w:val="24"/>
        </w:rPr>
      </w:r>
    </w:p>
    <w:p>
      <w:pPr>
        <w:pStyle w:val="Heading7"/>
        <w:ind w:hanging="0" w:start="0"/>
        <w:rPr/>
      </w:pPr>
      <w:r>
        <w:rPr/>
        <w:t>Duke Field Services: Central Oklahoma Midstream Asset Group in 2001</w:t>
      </w:r>
    </w:p>
    <w:tbl>
      <w:tblPr>
        <w:tblW w:w="10084" w:type="dxa"/>
        <w:jc w:val="start"/>
        <w:tblInd w:w="0" w:type="dxa"/>
        <w:tblLayout w:type="fixed"/>
        <w:tblCellMar>
          <w:top w:w="0" w:type="dxa"/>
          <w:start w:w="108" w:type="dxa"/>
          <w:bottom w:w="0" w:type="dxa"/>
          <w:end w:w="108" w:type="dxa"/>
        </w:tblCellMar>
      </w:tblPr>
      <w:tblGrid>
        <w:gridCol w:w="1638"/>
        <w:gridCol w:w="1170"/>
        <w:gridCol w:w="3039"/>
        <w:gridCol w:w="1371"/>
        <w:gridCol w:w="1426"/>
        <w:gridCol w:w="1440"/>
      </w:tblGrid>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u w:val="single"/>
              </w:rPr>
            </w:pPr>
            <w:r>
              <w:rPr>
                <w:b/>
                <w:sz w:val="22"/>
                <w:u w:val="single"/>
              </w:rPr>
              <w:t>1999 Operator</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u w:val="single"/>
              </w:rPr>
            </w:pPr>
            <w:r>
              <w:rPr>
                <w:b/>
                <w:sz w:val="22"/>
                <w:u w:val="single"/>
              </w:rPr>
              <w:t>Capacity MMcfd</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u w:val="single"/>
              </w:rPr>
            </w:pPr>
            <w:r>
              <w:rPr>
                <w:b/>
                <w:sz w:val="22"/>
                <w:u w:val="single"/>
              </w:rPr>
              <w:t>Plant Name</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u w:val="single"/>
              </w:rPr>
            </w:pPr>
            <w:r>
              <w:rPr>
                <w:b/>
                <w:sz w:val="22"/>
                <w:u w:val="single"/>
              </w:rPr>
              <w:t>County</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u w:val="single"/>
              </w:rPr>
            </w:pPr>
            <w:r>
              <w:rPr>
                <w:b/>
                <w:sz w:val="22"/>
                <w:u w:val="single"/>
              </w:rPr>
              <w:t>1998//99</w:t>
            </w:r>
          </w:p>
          <w:p>
            <w:pPr>
              <w:pStyle w:val="Header"/>
              <w:tabs>
                <w:tab w:val="clear" w:pos="4320"/>
                <w:tab w:val="clear" w:pos="8640"/>
                <w:tab w:val="left" w:pos="432" w:leader="none"/>
              </w:tabs>
              <w:jc w:val="center"/>
              <w:rPr>
                <w:b/>
                <w:sz w:val="22"/>
                <w:u w:val="single"/>
              </w:rPr>
            </w:pPr>
            <w:r>
              <w:rPr>
                <w:b/>
                <w:sz w:val="22"/>
                <w:u w:val="single"/>
              </w:rPr>
              <w:t>Inlet Gas</w:t>
            </w:r>
          </w:p>
          <w:p>
            <w:pPr>
              <w:pStyle w:val="Header"/>
              <w:tabs>
                <w:tab w:val="clear" w:pos="4320"/>
                <w:tab w:val="clear" w:pos="8640"/>
                <w:tab w:val="left" w:pos="432" w:leader="none"/>
              </w:tabs>
              <w:jc w:val="center"/>
              <w:rPr>
                <w:b/>
                <w:sz w:val="22"/>
                <w:u w:val="single"/>
              </w:rPr>
            </w:pPr>
            <w:r>
              <w:rPr>
                <w:b/>
                <w:sz w:val="22"/>
                <w:u w:val="single"/>
              </w:rPr>
              <w:t>MMcf/d</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u w:val="single"/>
              </w:rPr>
            </w:pPr>
            <w:r>
              <w:rPr>
                <w:b/>
                <w:sz w:val="22"/>
                <w:u w:val="single"/>
              </w:rPr>
              <w:t>1998//99</w:t>
            </w:r>
          </w:p>
          <w:p>
            <w:pPr>
              <w:pStyle w:val="Header"/>
              <w:tabs>
                <w:tab w:val="clear" w:pos="4320"/>
                <w:tab w:val="clear" w:pos="8640"/>
                <w:tab w:val="left" w:pos="432" w:leader="none"/>
              </w:tabs>
              <w:jc w:val="center"/>
              <w:rPr>
                <w:b/>
                <w:sz w:val="22"/>
                <w:u w:val="single"/>
              </w:rPr>
            </w:pPr>
            <w:r>
              <w:rPr>
                <w:b/>
                <w:sz w:val="22"/>
                <w:u w:val="single"/>
              </w:rPr>
              <w:t>NGL b/d</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Conoco</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30</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Hennessey (shutdown 1997)</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Kingfisher</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snapToGrid w:val="false"/>
              <w:jc w:val="center"/>
              <w:rPr>
                <w:sz w:val="22"/>
              </w:rPr>
            </w:pPr>
            <w:r>
              <w:rPr>
                <w:sz w:val="22"/>
              </w:rPr>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snapToGrid w:val="false"/>
              <w:jc w:val="center"/>
              <w:rPr>
                <w:sz w:val="22"/>
              </w:rPr>
            </w:pPr>
            <w:r>
              <w:rPr>
                <w:sz w:val="22"/>
              </w:rPr>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Exxon</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80</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Dover-Hennessey (Duke 30%)</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Kingfisher</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30//27</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3335//3258</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GPM Gas</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152</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Okarche</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Kingfisher</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142 //136</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11274/ 11082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GPM Gas</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165</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Kingfisher</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Kingfisher</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100//95</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9640 //9345</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Conoco</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36</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Cashion</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Kingfisher</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33 //32</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3270//3122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rPr>
            </w:pPr>
            <w:r>
              <w:rPr>
                <w:b/>
                <w:sz w:val="22"/>
              </w:rPr>
              <w:t>Duke Field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12</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rPr>
            </w:pPr>
            <w:r>
              <w:rPr>
                <w:b/>
                <w:sz w:val="22"/>
              </w:rPr>
              <w:t>West Edmond***</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Logan</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10 //10</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1100 //1023</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rPr>
            </w:pPr>
            <w:r>
              <w:rPr>
                <w:b/>
                <w:sz w:val="22"/>
              </w:rPr>
              <w:t>Duke Field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15</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rPr>
            </w:pPr>
            <w:r>
              <w:rPr>
                <w:b/>
                <w:sz w:val="22"/>
              </w:rPr>
              <w:t>Guthrie***</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Logan</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10 //8</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900 //763</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rPr>
            </w:pPr>
            <w:r>
              <w:rPr>
                <w:b/>
                <w:sz w:val="22"/>
              </w:rPr>
              <w:t>Conoco</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15</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rPr>
            </w:pPr>
            <w:r>
              <w:rPr>
                <w:b/>
                <w:sz w:val="22"/>
              </w:rPr>
              <w:t>Carney***</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Lincoln</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15 //18</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1760 //2107</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Conoco</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38</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Mustang (Duke 80%)</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Grady</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37 //34</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3000 //2214</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Conoco</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60</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Goldsby Central</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McClain</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32 //30</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3745 //3357</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Duke Field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90</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Chitwood</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Grady</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73 //69</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7610 //7352</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Duke Field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u w:val="single"/>
              </w:rPr>
            </w:pPr>
            <w:r>
              <w:rPr>
                <w:sz w:val="22"/>
                <w:u w:val="single"/>
              </w:rPr>
              <w:t>70</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sz w:val="22"/>
              </w:rPr>
            </w:pPr>
            <w:r>
              <w:rPr>
                <w:sz w:val="22"/>
              </w:rPr>
              <w:t>Sholem Alechem</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rPr>
            </w:pPr>
            <w:r>
              <w:rPr>
                <w:sz w:val="22"/>
              </w:rPr>
              <w:t>Stephens</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u w:val="single"/>
              </w:rPr>
            </w:pPr>
            <w:r>
              <w:rPr>
                <w:sz w:val="22"/>
                <w:u w:val="single"/>
              </w:rPr>
              <w:t>62 //57</w:t>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sz w:val="22"/>
                <w:u w:val="single"/>
              </w:rPr>
            </w:pPr>
            <w:r>
              <w:rPr>
                <w:sz w:val="22"/>
                <w:u w:val="single"/>
              </w:rPr>
              <w:t>7245 //6950</w:t>
            </w:r>
          </w:p>
        </w:tc>
      </w:tr>
      <w:tr>
        <w:trPr/>
        <w:tc>
          <w:tcPr>
            <w:tcW w:w="1638"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rPr>
            </w:pPr>
            <w:r>
              <w:rPr>
                <w:b/>
                <w:sz w:val="22"/>
              </w:rPr>
              <w:t>Duke Field</w:t>
            </w:r>
          </w:p>
        </w:tc>
        <w:tc>
          <w:tcPr>
            <w:tcW w:w="117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60</w:t>
            </w:r>
          </w:p>
        </w:tc>
        <w:tc>
          <w:tcPr>
            <w:tcW w:w="3039"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rPr>
                <w:b/>
                <w:sz w:val="22"/>
              </w:rPr>
            </w:pPr>
            <w:r>
              <w:rPr>
                <w:b/>
                <w:sz w:val="22"/>
              </w:rPr>
              <w:t>Seiling***</w:t>
            </w:r>
          </w:p>
        </w:tc>
        <w:tc>
          <w:tcPr>
            <w:tcW w:w="1371"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jc w:val="center"/>
              <w:rPr>
                <w:b/>
                <w:sz w:val="22"/>
              </w:rPr>
            </w:pPr>
            <w:r>
              <w:rPr>
                <w:b/>
                <w:sz w:val="22"/>
              </w:rPr>
              <w:t>Dewey</w:t>
            </w:r>
          </w:p>
        </w:tc>
        <w:tc>
          <w:tcPr>
            <w:tcW w:w="1426"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snapToGrid w:val="false"/>
              <w:jc w:val="center"/>
              <w:rPr>
                <w:b/>
                <w:sz w:val="22"/>
              </w:rPr>
            </w:pPr>
            <w:r>
              <w:rPr>
                <w:b/>
                <w:sz w:val="22"/>
              </w:rPr>
            </w:r>
          </w:p>
        </w:tc>
        <w:tc>
          <w:tcPr>
            <w:tcW w:w="1440" w:type="dxa"/>
            <w:tcBorders>
              <w:top w:val="single" w:sz="4" w:space="0" w:color="000000"/>
              <w:start w:val="single" w:sz="4" w:space="0" w:color="000000"/>
              <w:bottom w:val="single" w:sz="4" w:space="0" w:color="000000"/>
              <w:end w:val="single" w:sz="4" w:space="0" w:color="000000"/>
            </w:tcBorders>
          </w:tcPr>
          <w:p>
            <w:pPr>
              <w:pStyle w:val="Header"/>
              <w:tabs>
                <w:tab w:val="clear" w:pos="4320"/>
                <w:tab w:val="clear" w:pos="8640"/>
                <w:tab w:val="left" w:pos="432" w:leader="none"/>
              </w:tabs>
              <w:snapToGrid w:val="false"/>
              <w:jc w:val="center"/>
              <w:rPr>
                <w:b/>
                <w:sz w:val="22"/>
              </w:rPr>
            </w:pPr>
            <w:r>
              <w:rPr>
                <w:b/>
                <w:sz w:val="22"/>
              </w:rPr>
            </w:r>
          </w:p>
        </w:tc>
      </w:tr>
    </w:tbl>
    <w:p>
      <w:pPr>
        <w:pStyle w:val="Caption"/>
        <w:rPr/>
      </w:pPr>
      <w:r>
        <w:rPr/>
        <w:t>***Shut Down in 2000</w:t>
        <w:tab/>
        <w:tab/>
        <w:tab/>
        <w:tab/>
        <w:tab/>
        <w:tab/>
        <w:tab/>
        <w:tab/>
      </w:r>
    </w:p>
    <w:p>
      <w:pPr>
        <w:pStyle w:val="Caption"/>
        <w:rPr/>
      </w:pPr>
      <w:r>
        <w:rPr/>
        <w:t>Source for 1998/1999 inlet gas &amp; NGL volumes: LPG Almanac</w:t>
      </w:r>
    </w:p>
    <w:p>
      <w:pPr>
        <w:pStyle w:val="Normal"/>
        <w:rPr/>
      </w:pPr>
      <w:r>
        <w:rPr/>
      </w:r>
    </w:p>
    <w:p>
      <w:pPr>
        <w:pStyle w:val="Normal"/>
        <w:tabs>
          <w:tab w:val="left" w:pos="432" w:leader="none"/>
        </w:tabs>
        <w:rPr>
          <w:sz w:val="24"/>
        </w:rPr>
      </w:pPr>
      <w:r>
        <w:rPr>
          <w:sz w:val="24"/>
        </w:rPr>
        <w:tab/>
        <w:t xml:space="preserve">Looking at the map one might ask why is the old Conoco Cashion plant being kept up and running, since it sits next to Kingfisher, close enough to be in its shadow. The answer is that Cashion is going to be considered an integral part of the larger plant, to be run as a swing facility to absorb surges in gas production in the north end of Duke’s fairway without disturbing Kingfisher which will be run at a steady maximum state to maximize efficiency.  Actually, in the immediate future Duke thinks expanded drilling—mostly to the Hunton formation—in the Kingfisher-to-Carney area is going to produce enough new gas to keep Cashion fully loaded. </w:t>
      </w:r>
    </w:p>
    <w:p>
      <w:pPr>
        <w:pStyle w:val="Normal"/>
        <w:tabs>
          <w:tab w:val="left" w:pos="432" w:leader="none"/>
        </w:tabs>
        <w:rPr>
          <w:sz w:val="24"/>
        </w:rPr>
      </w:pPr>
      <w:r>
        <w:rPr>
          <w:sz w:val="24"/>
        </w:rPr>
      </w:r>
    </w:p>
    <w:p>
      <w:pPr>
        <w:pStyle w:val="Normal"/>
        <w:tabs>
          <w:tab w:val="left" w:pos="432" w:leader="none"/>
        </w:tabs>
        <w:rPr/>
      </w:pPr>
      <w:r>
        <w:rPr>
          <w:sz w:val="24"/>
        </w:rPr>
        <w:tab/>
        <w:t xml:space="preserve">The Seiling plant is not really a part of Duke’s Central Oklahoma fairway, depicted generally north-to-south in the table below,  but it is included for completeness. Seiling sits off to the west near the town of Mooreland where Duke also has a 105 MMcf/d plant of the same name.  Seiling will be shut down as soon as a line connecting it to the larger plant can be completed. </w:t>
      </w:r>
    </w:p>
    <w:p>
      <w:pPr>
        <w:pStyle w:val="Normal"/>
        <w:tabs>
          <w:tab w:val="left" w:pos="432" w:leader="none"/>
        </w:tabs>
        <w:rPr>
          <w:sz w:val="24"/>
        </w:rPr>
      </w:pPr>
      <w:r>
        <w:rPr>
          <w:sz w:val="24"/>
        </w:rPr>
      </w:r>
    </w:p>
    <w:p>
      <w:pPr>
        <w:pStyle w:val="Normal"/>
        <w:tabs>
          <w:tab w:val="left" w:pos="432" w:leader="none"/>
        </w:tabs>
        <w:rPr/>
      </w:pPr>
      <w:r>
        <w:rPr>
          <w:sz w:val="24"/>
        </w:rPr>
        <w:tab/>
        <w:t xml:space="preserve">All the remaining plants are running full tilt in face of $9 gas, primarlily because of their contract situation.  Company-wide, Duke is tilted towards the type of contract most likely to keep a plant in operation in face of high feedstock costs; even ratio percent-of-proceeds arrangements. Here, the plant enjoys a piece of the residue gas sales, and its share of that bonanza is no less than its share of the liquids revenue.That gives the plant no special incentive to bypass the plant because of high gas prices.  </w:t>
      </w:r>
    </w:p>
    <w:p>
      <w:pPr>
        <w:pStyle w:val="Normal"/>
        <w:tabs>
          <w:tab w:val="left" w:pos="432" w:leader="none"/>
        </w:tabs>
        <w:rPr>
          <w:sz w:val="24"/>
        </w:rPr>
      </w:pPr>
      <w:r>
        <w:rPr>
          <w:sz w:val="24"/>
        </w:rPr>
        <w:tab/>
      </w:r>
    </w:p>
    <w:p>
      <w:pPr>
        <w:pStyle w:val="Heading9"/>
        <w:ind w:hanging="0" w:start="432" w:end="0"/>
        <w:rPr>
          <w:rFonts w:ascii="Arial" w:hAnsi="Arial" w:cs="Arial"/>
          <w:b/>
          <w:sz w:val="36"/>
        </w:rPr>
      </w:pPr>
      <w:r>
        <w:rPr>
          <w:rFonts w:cs="Arial" w:ascii="Arial" w:hAnsi="Arial"/>
          <w:b/>
          <w:sz w:val="36"/>
        </w:rPr>
        <w:t>The MidContinent Ice Storm—Keep the Plants Running</w:t>
      </w:r>
    </w:p>
    <w:p>
      <w:pPr>
        <w:pStyle w:val="Normal"/>
        <w:rPr/>
      </w:pPr>
      <w:r>
        <w:rPr>
          <w:sz w:val="24"/>
        </w:rPr>
        <w:tab/>
        <w:t xml:space="preserve">In the first part of this issue we saw how the ANR mainline in the Gulf Coast is threatened with having the denser C4+ liquids fall out because total plant bypass to fetch high gas prices and cold weather are two things that don’t mix.  That’s because, as ANR is finding, the cold outside air temperature may fall below the </w:t>
      </w:r>
      <w:r>
        <w:rPr>
          <w:i/>
          <w:sz w:val="24"/>
        </w:rPr>
        <w:t>hydrocarbon</w:t>
      </w:r>
      <w:r>
        <w:rPr>
          <w:sz w:val="24"/>
        </w:rPr>
        <w:t xml:space="preserve"> dewpoint, which would make the heavy ends being left in the gas stream fall out in the pipe.  But what about the </w:t>
      </w:r>
      <w:r>
        <w:rPr>
          <w:i/>
          <w:sz w:val="24"/>
        </w:rPr>
        <w:t xml:space="preserve">water </w:t>
      </w:r>
      <w:r>
        <w:rPr>
          <w:sz w:val="24"/>
        </w:rPr>
        <w:t xml:space="preserve">dewpoint?  That’s at 32 degrees F, which is regularly being breached at least in the atmosphere, which makes the water content of the gas critical as well. Standard pipeline spec in the MidContinent is 7 lbs/Mcf, but it’s the plants that do the dehydrating in order to get it there. If too many plants are bypassed and closed along a given stretch of pipe, and if outside ice starts to form as it did in last week’s Oklahoma/Kansas/North Texas/Arkansas ice storm, the water that’s left in the pipe along with the butanes and pentanes could gum up the works together. </w:t>
      </w:r>
    </w:p>
    <w:p>
      <w:pPr>
        <w:pStyle w:val="Normal"/>
        <w:rPr>
          <w:sz w:val="24"/>
        </w:rPr>
      </w:pPr>
      <w:r>
        <w:rPr>
          <w:sz w:val="24"/>
        </w:rPr>
        <w:tab/>
      </w:r>
    </w:p>
    <w:p>
      <w:pPr>
        <w:pStyle w:val="Normal"/>
        <w:ind w:firstLine="432" w:end="0"/>
        <w:rPr/>
      </w:pPr>
      <w:r>
        <w:rPr>
          <w:b/>
          <w:sz w:val="24"/>
          <w:u w:val="single"/>
        </w:rPr>
        <w:t>Bringing the Offshore Onshore</w:t>
      </w:r>
      <w:r>
        <w:rPr>
          <w:sz w:val="24"/>
        </w:rPr>
        <w:t xml:space="preserve">. Typically this is only a problem offshore where lines such as El Paso Energy Partners’ East Breaks line to the Diana/Hoover platform traverse 3000 ft + depths where it is always very cold, making the heavies and water fall out together as hydrate sludge.  (See </w:t>
      </w:r>
      <w:r>
        <w:rPr>
          <w:i/>
          <w:sz w:val="24"/>
        </w:rPr>
        <w:t>GPR</w:t>
      </w:r>
      <w:r>
        <w:rPr>
          <w:sz w:val="24"/>
        </w:rPr>
        <w:t xml:space="preserve"> Aug 7 2000) But if too many plants are bypassed, the current cold weather could bring the offshore conditions onshore. High pressure operations aggravate the situation—the higher the psi inside the pipe, the higher the temperature at which the gas will freeze up.The role of the plant in dehydrating gas </w:t>
      </w:r>
      <w:r>
        <w:rPr>
          <w:i/>
          <w:sz w:val="24"/>
        </w:rPr>
        <w:t>onshore</w:t>
      </w:r>
      <w:r>
        <w:rPr>
          <w:sz w:val="24"/>
        </w:rPr>
        <w:t xml:space="preserve"> is totally taken for granted, but is absolutely necessary unless there are glycol units on the wellheads themselves to take water out at the source. Those will generally be present if the gathering lines to the plant are kept at at higher pressures, around 5-600 psi. For that reason, field compressors on gathering lines will often have glycol units attached. But absent high field pressures, it’s up to the plant to take out the water.  .</w:t>
      </w:r>
    </w:p>
    <w:p>
      <w:pPr>
        <w:pStyle w:val="Normal"/>
        <w:ind w:firstLine="432" w:end="0"/>
        <w:rPr>
          <w:sz w:val="24"/>
        </w:rPr>
      </w:pPr>
      <w:r>
        <w:rPr>
          <w:sz w:val="24"/>
        </w:rPr>
      </w:r>
    </w:p>
    <w:p>
      <w:pPr>
        <w:pStyle w:val="Normal"/>
        <w:ind w:firstLine="432" w:end="0"/>
        <w:rPr>
          <w:sz w:val="24"/>
        </w:rPr>
      </w:pPr>
      <w:r>
        <w:rPr>
          <w:sz w:val="24"/>
        </w:rPr>
        <w:t xml:space="preserve">Generally, the entire plant has to be up and running in order for the dehydrating units to work. It’s not like the typical Gulf Coast plant handling offshore gas that can just run its slug catcher with everything else off.  Onshore, things are more complex. There’s a “molecular sieve” through which the gas is forced, extracting the water.  Then a slipstream of about 10% or so of the gas is heated and run back through the sieve to boil off the extracted water. Then the gas is recompressed to get it into the sales line. All this can’t just be done on an a la carte basis—the whole plant has to be involved. </w:t>
      </w:r>
    </w:p>
    <w:p>
      <w:pPr>
        <w:pStyle w:val="Normal"/>
        <w:ind w:end="0"/>
        <w:rPr>
          <w:sz w:val="24"/>
        </w:rPr>
      </w:pPr>
      <w:r>
        <w:rPr>
          <w:sz w:val="24"/>
        </w:rPr>
      </w:r>
    </w:p>
    <w:sectPr>
      <w:headerReference w:type="even" r:id="rId2"/>
      <w:headerReference w:type="default" r:id="rId3"/>
      <w:headerReference w:type="first" r:id="rId4"/>
      <w:type w:val="nextPage"/>
      <w:pgSz w:w="12240" w:h="15840"/>
      <w:pgMar w:left="1080" w:right="1080" w:gutter="0" w:header="432" w:top="1440" w:footer="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24"/>
      </w:rPr>
      <w:t>Page</w:t>
    </w:r>
    <w:r>
      <w:rPr>
        <w:rStyle w:val="PageNumber"/>
        <w:sz w:val="24"/>
      </w:rPr>
      <w:t xml:space="preserv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8</w:t>
    </w:r>
    <w:r>
      <w:rPr>
        <w:rStyle w:val="PageNumber"/>
        <w:sz w:val="24"/>
      </w:rPr>
      <w:fldChar w:fldCharType="end"/>
    </w:r>
    <w:r>
      <w:rPr>
        <w:sz w:val="24"/>
      </w:rPr>
      <w:tab/>
      <w:t>GPR January 1, 2001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4"/>
      </w:rPr>
      <w:t xml:space="preserve">GPR January 1, 2001 </w:t>
      <w:tab/>
      <w:t xml:space="preserve">Page </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t xml:space="preserve">MIDCONTINENT ISSUE </w:t>
    </w:r>
  </w:p>
  <w:p>
    <w:pPr>
      <w:pStyle w:val="Header"/>
      <w:jc w:val="end"/>
      <w:rPr>
        <w:sz w:val="24"/>
      </w:rPr>
    </w:pPr>
    <w:r>
      <w:rPr>
        <w:sz w:val="24"/>
      </w:rPr>
      <w:t>January 1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432"/>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z w:val="36"/>
    </w:rPr>
  </w:style>
  <w:style w:type="paragraph" w:styleId="Heading2">
    <w:name w:val="heading 2"/>
    <w:basedOn w:val="Normal"/>
    <w:next w:val="Normal"/>
    <w:qFormat/>
    <w:pPr>
      <w:keepNext w:val="true"/>
      <w:numPr>
        <w:ilvl w:val="1"/>
        <w:numId w:val="1"/>
      </w:numPr>
      <w:ind w:firstLine="432" w:start="0" w:end="0"/>
      <w:outlineLvl w:val="1"/>
    </w:pPr>
    <w:rPr>
      <w:b/>
      <w:sz w:val="24"/>
      <w:u w:val="single"/>
    </w:rPr>
  </w:style>
  <w:style w:type="paragraph" w:styleId="Heading3">
    <w:name w:val="heading 3"/>
    <w:basedOn w:val="Normal"/>
    <w:next w:val="Normal"/>
    <w:qFormat/>
    <w:pPr>
      <w:keepNext w:val="true"/>
      <w:numPr>
        <w:ilvl w:val="2"/>
        <w:numId w:val="1"/>
      </w:numPr>
      <w:outlineLvl w:val="2"/>
    </w:pPr>
    <w:rPr>
      <w:b/>
      <w:color w:val="000000"/>
      <w:lang w:eastAsia="en-US"/>
    </w:rPr>
  </w:style>
  <w:style w:type="paragraph" w:styleId="Heading4">
    <w:name w:val="heading 4"/>
    <w:basedOn w:val="Normal"/>
    <w:next w:val="Normal"/>
    <w:qFormat/>
    <w:pPr>
      <w:keepNext w:val="true"/>
      <w:numPr>
        <w:ilvl w:val="3"/>
        <w:numId w:val="1"/>
      </w:numPr>
      <w:jc w:val="center"/>
      <w:outlineLvl w:val="3"/>
    </w:pPr>
    <w:rPr>
      <w:b/>
      <w:color w:val="000000"/>
      <w:lang w:eastAsia="en-US"/>
    </w:rPr>
  </w:style>
  <w:style w:type="paragraph" w:styleId="Heading5">
    <w:name w:val="heading 5"/>
    <w:basedOn w:val="Normal"/>
    <w:next w:val="Normal"/>
    <w:qFormat/>
    <w:pPr>
      <w:keepNext w:val="true"/>
      <w:numPr>
        <w:ilvl w:val="4"/>
        <w:numId w:val="1"/>
      </w:numPr>
      <w:jc w:val="center"/>
      <w:outlineLvl w:val="4"/>
    </w:pPr>
    <w:rPr>
      <w:sz w:val="24"/>
    </w:rPr>
  </w:style>
  <w:style w:type="paragraph" w:styleId="Heading6">
    <w:name w:val="heading 6"/>
    <w:basedOn w:val="Normal"/>
    <w:next w:val="Normal"/>
    <w:qFormat/>
    <w:pPr>
      <w:keepNext w:val="true"/>
      <w:numPr>
        <w:ilvl w:val="5"/>
        <w:numId w:val="1"/>
      </w:numPr>
      <w:jc w:val="center"/>
      <w:outlineLvl w:val="5"/>
    </w:pPr>
    <w:rPr>
      <w:rFonts w:ascii="Arial" w:hAnsi="Arial" w:cs="Arial"/>
      <w:b/>
      <w:sz w:val="32"/>
    </w:rPr>
  </w:style>
  <w:style w:type="paragraph" w:styleId="Heading7">
    <w:name w:val="heading 7"/>
    <w:basedOn w:val="Normal"/>
    <w:next w:val="Normal"/>
    <w:qFormat/>
    <w:pPr>
      <w:keepNext w:val="true"/>
      <w:numPr>
        <w:ilvl w:val="6"/>
        <w:numId w:val="1"/>
      </w:numPr>
      <w:tabs>
        <w:tab w:val="left" w:pos="432" w:leader="none"/>
      </w:tabs>
      <w:jc w:val="center"/>
      <w:outlineLvl w:val="6"/>
    </w:pPr>
    <w:rPr>
      <w:rFonts w:ascii="Arial" w:hAnsi="Arial" w:cs="Arial"/>
      <w:b/>
      <w:sz w:val="28"/>
    </w:rPr>
  </w:style>
  <w:style w:type="paragraph" w:styleId="Heading8">
    <w:name w:val="heading 8"/>
    <w:basedOn w:val="Normal"/>
    <w:next w:val="Normal"/>
    <w:qFormat/>
    <w:pPr>
      <w:keepNext w:val="true"/>
      <w:numPr>
        <w:ilvl w:val="7"/>
        <w:numId w:val="1"/>
      </w:numPr>
      <w:jc w:val="center"/>
      <w:outlineLvl w:val="7"/>
    </w:pPr>
    <w:rPr>
      <w:rFonts w:ascii="Arial" w:hAnsi="Arial" w:cs="Arial"/>
      <w:b/>
      <w:sz w:val="36"/>
    </w:rPr>
  </w:style>
  <w:style w:type="paragraph" w:styleId="Heading9">
    <w:name w:val="heading 9"/>
    <w:basedOn w:val="Normal"/>
    <w:next w:val="Normal"/>
    <w:qFormat/>
    <w:pPr>
      <w:keepNext w:val="true"/>
      <w:numPr>
        <w:ilvl w:val="8"/>
        <w:numId w:val="1"/>
      </w:numPr>
      <w:outlineLvl w:val="8"/>
    </w:pPr>
    <w:rPr>
      <w:sz w:val="24"/>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b/>
      <w:sz w:val="36"/>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next w:val="Normal"/>
    <w:qFormat/>
    <w:pPr>
      <w:tabs>
        <w:tab w:val="left" w:pos="432" w:leader="none"/>
      </w:tabs>
    </w:pPr>
    <w:rPr>
      <w:b/>
      <w:i/>
      <w:sz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432" w:start="0" w:end="0"/>
    </w:pPr>
    <w:rPr>
      <w:sz w:val="24"/>
    </w:rPr>
  </w:style>
  <w:style w:type="paragraph" w:styleId="HeaderandFooter">
    <w:name w:val="Header and Footer"/>
    <w:basedOn w:val="Normal"/>
    <w:qFormat/>
    <w:pPr>
      <w:suppressLineNumbers/>
      <w:tabs>
        <w:tab w:val="clear" w:pos="432"/>
        <w:tab w:val="center" w:pos="4986" w:leader="none"/>
        <w:tab w:val="right" w:pos="9972" w:leader="none"/>
      </w:tabs>
    </w:pPr>
    <w:rPr/>
  </w:style>
  <w:style w:type="paragraph" w:styleId="Header">
    <w:name w:val="header"/>
    <w:basedOn w:val="Normal"/>
    <w:pPr>
      <w:tabs>
        <w:tab w:val="clear" w:pos="432"/>
        <w:tab w:val="center" w:pos="4320" w:leader="none"/>
        <w:tab w:val="right" w:pos="8640" w:leader="none"/>
      </w:tabs>
    </w:pPr>
    <w:rPr/>
  </w:style>
  <w:style w:type="paragraph" w:styleId="Footer">
    <w:name w:val="footer"/>
    <w:basedOn w:val="Normal"/>
    <w:pPr>
      <w:tabs>
        <w:tab w:val="clear" w:pos="432"/>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2000-12-27T23:48:00Z</dcterms:created>
  <dc:creator>Gas Processors Report</dc:creator>
  <dc:description/>
  <dc:language>en-CA</dc:language>
  <cp:lastModifiedBy>Gas Processors Report</cp:lastModifiedBy>
  <cp:lastPrinted>2000-12-28T10:52:00Z</cp:lastPrinted>
  <dcterms:modified xsi:type="dcterms:W3CDTF">2000-12-28T17:34:00Z</dcterms:modified>
  <cp:revision>27</cp:revision>
  <dc:subject/>
  <dc:title>xxxxxxxx</dc:title>
</cp:coreProperties>
</file>