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sz w:val="22"/>
        </w:rPr>
      </w:pPr>
      <w:r>
        <w:rPr>
          <w:b/>
          <w:sz w:val="22"/>
        </w:rPr>
        <w:t xml:space="preserve">AMENDMENT OF ISDA MASTER AGREEMENT </w:t>
      </w:r>
    </w:p>
    <w:p>
      <w:pPr>
        <w:pStyle w:val="BodyText"/>
        <w:ind w:hanging="0" w:start="0" w:end="0"/>
        <w:rPr/>
      </w:pPr>
      <w:r>
        <w:rPr>
          <w:sz w:val="22"/>
        </w:rPr>
        <w:tab/>
        <w:t>Reference is hereby made to (i) that certain ISDA Master Agreement dated October 19, 2000, together with the Schedule thereto and a part thereof dated as of October 19, 2000 (the “</w:t>
      </w:r>
      <w:r>
        <w:rPr>
          <w:sz w:val="22"/>
          <w:u w:val="single"/>
        </w:rPr>
        <w:t>ISDA Agreement</w:t>
      </w:r>
      <w:r>
        <w:rPr>
          <w:sz w:val="22"/>
        </w:rPr>
        <w:t>”), between Midcoast Energy Resources, Inc. (“</w:t>
      </w:r>
      <w:r>
        <w:rPr>
          <w:sz w:val="22"/>
          <w:u w:val="single"/>
        </w:rPr>
        <w:t>Midcoast</w:t>
      </w:r>
      <w:r>
        <w:rPr>
          <w:sz w:val="22"/>
        </w:rPr>
        <w:t>”) and The Bank of Nova Scotia (“</w:t>
      </w:r>
      <w:r>
        <w:rPr>
          <w:sz w:val="22"/>
          <w:u w:val="single"/>
        </w:rPr>
        <w:t>Nova Scotia</w:t>
      </w:r>
      <w:r>
        <w:rPr>
          <w:sz w:val="22"/>
        </w:rPr>
        <w:t>”), and (ii) that certain Amended and Restated Credit Agreement dated as of November 8, 1999, among Midcoast, the Subsidiary Guarantors, Bank of America, N.A., as administrative agent for the Lenders (in such capacity, the “</w:t>
      </w:r>
      <w:r>
        <w:rPr>
          <w:sz w:val="22"/>
          <w:u w:val="single"/>
        </w:rPr>
        <w:t>Agent</w:t>
      </w:r>
      <w:r>
        <w:rPr>
          <w:sz w:val="22"/>
        </w:rPr>
        <w:t>”), Bank One, NA, as syndication agent, CIBC, Inc., as documentation agent, Banc of America Securities LLC, as lead arranger and book manager and the Lenders party thereto (collectively, the “</w:t>
      </w:r>
      <w:r>
        <w:rPr>
          <w:sz w:val="22"/>
          <w:u w:val="single"/>
        </w:rPr>
        <w:t>Lenders</w:t>
      </w:r>
      <w:r>
        <w:rPr>
          <w:sz w:val="22"/>
        </w:rPr>
        <w:t>”), as amended by the First Amendment thereto dated as of March 1, 2000, and the Second Amendment thereto dated as of June 30, 2000 (as amended and in effect, including any schedules thereto, the “</w:t>
      </w:r>
      <w:r>
        <w:rPr>
          <w:sz w:val="22"/>
          <w:u w:val="single"/>
        </w:rPr>
        <w:t>Credit Agreement</w:t>
      </w:r>
      <w:r>
        <w:rPr>
          <w:sz w:val="22"/>
        </w:rPr>
        <w:t>”).  All capitalized terms used herein but not defined shall have the meaning given them in the ISDA Agreement.</w:t>
      </w:r>
    </w:p>
    <w:p>
      <w:pPr>
        <w:pStyle w:val="BodyText"/>
        <w:ind w:hanging="0" w:start="0" w:end="0"/>
        <w:jc w:val="center"/>
        <w:rPr>
          <w:b/>
          <w:sz w:val="22"/>
          <w:u w:val="single"/>
        </w:rPr>
      </w:pPr>
      <w:r>
        <w:rPr>
          <w:b/>
          <w:sz w:val="22"/>
          <w:u w:val="single"/>
        </w:rPr>
        <w:t>Recitals</w:t>
      </w:r>
    </w:p>
    <w:p>
      <w:pPr>
        <w:pStyle w:val="BodyText"/>
        <w:ind w:hanging="0" w:start="0" w:end="0"/>
        <w:rPr/>
      </w:pPr>
      <w:r>
        <w:rPr>
          <w:sz w:val="22"/>
        </w:rPr>
        <w:tab/>
        <w:t>Pursuant to that certain Agreement and Plan of Merger dated as of March 15, 2001, among Midcoast, Marlin Acquisition Inc. (“</w:t>
      </w:r>
      <w:r>
        <w:rPr>
          <w:sz w:val="22"/>
          <w:u w:val="single"/>
        </w:rPr>
        <w:t>Marlin Acquisition</w:t>
      </w:r>
      <w:r>
        <w:rPr>
          <w:sz w:val="22"/>
        </w:rPr>
        <w:t>”) and Enbridge Inc. (“</w:t>
      </w:r>
      <w:r>
        <w:rPr>
          <w:sz w:val="22"/>
          <w:u w:val="single"/>
        </w:rPr>
        <w:t>Enbridge</w:t>
      </w:r>
      <w:r>
        <w:rPr>
          <w:sz w:val="22"/>
        </w:rPr>
        <w:t>”), Marlin Acquisition will be merged with and into Midcoast (the “</w:t>
      </w:r>
      <w:r>
        <w:rPr>
          <w:sz w:val="22"/>
          <w:u w:val="single"/>
        </w:rPr>
        <w:t>Merger</w:t>
      </w:r>
      <w:r>
        <w:rPr>
          <w:sz w:val="22"/>
        </w:rPr>
        <w:t>”) resulting in Midcoast (i) becoming an indirect wholly-owned subsidiary of Enbridge and (ii) continuing as the surviving corporation.  As provided in that certain Consent and Waiver and Amendment dated May ___, 2001 among Midcoast and the Lenders (the “</w:t>
      </w:r>
      <w:r>
        <w:rPr>
          <w:sz w:val="22"/>
          <w:u w:val="single"/>
        </w:rPr>
        <w:t>Bank Waiver</w:t>
      </w:r>
      <w:r>
        <w:rPr>
          <w:sz w:val="22"/>
        </w:rPr>
        <w:t xml:space="preserve">”), each “Event of Default” (as defined in the Credit Agreement) that occurs or may occur as a result of the Merger has been waived to the extent provided therein.  </w:t>
      </w:r>
    </w:p>
    <w:p>
      <w:pPr>
        <w:pStyle w:val="BodyText"/>
        <w:ind w:hanging="0" w:start="0" w:end="0"/>
        <w:rPr>
          <w:sz w:val="22"/>
        </w:rPr>
      </w:pPr>
      <w:r>
        <w:rPr>
          <w:sz w:val="22"/>
        </w:rPr>
        <w:tab/>
        <w:t>In connection with the Merger, Midcoast desires to amend the ISDA Agreement by deleting from Part 1(i) of the Schedule contained in the ISDA Agreement, the provision for an additional Event of Default based upon any “Event of Default” under the Credit Agreement.   If such provision remained, the Bank Waiver and any subsequent waiver made pursuant to the Credit Agreement would be rendered of no effect; which could result in, among other things, a default occurring under the Credit Agreement after a waiver had been duly obtained thereunder.  Any default under the Credit Agreement which is not waived in accordance with its terms is an Event of Default under the ISDA Agreement pursuant to Paragraph 5(a)(vi). Midcoast further desires to amend the provisions of Part 1(a) of the Schedule contained in the ISDA Agreement to limit the parties to be designated as “Specified Entities” to only Midcoast and its subsidiaries.</w:t>
      </w:r>
    </w:p>
    <w:p>
      <w:pPr>
        <w:pStyle w:val="BodyText"/>
        <w:ind w:hanging="0" w:start="0" w:end="0"/>
        <w:rPr>
          <w:sz w:val="22"/>
        </w:rPr>
      </w:pPr>
      <w:r>
        <w:rPr>
          <w:sz w:val="22"/>
        </w:rPr>
        <w:tab/>
        <w:t>NOW THEREFORE, in consideration of the foregoing, the mutual covenants set forth herein, and other good and valuable consideration, the receipt and sufficiency of which are hereby acknowledged, Midcoast and Nova Scotia agree as follows:</w:t>
      </w:r>
    </w:p>
    <w:p>
      <w:pPr>
        <w:pStyle w:val="BodyTextIndent"/>
        <w:rPr/>
      </w:pPr>
      <w:r>
        <w:rPr/>
        <w:t>1.</w:t>
        <w:tab/>
      </w:r>
      <w:r>
        <w:rPr>
          <w:b/>
        </w:rPr>
        <w:t>Amendment</w:t>
      </w:r>
      <w:r>
        <w:rPr/>
        <w:t>.</w:t>
      </w:r>
    </w:p>
    <w:p>
      <w:pPr>
        <w:pStyle w:val="BodyTextIndent"/>
        <w:rPr/>
      </w:pPr>
      <w:r>
        <w:rPr/>
        <w:t>1.1</w:t>
        <w:tab/>
        <w:t>Part 1(i) of the ISDA Agreement is hereby amended by deleting the sentence numbered “2” which sentence states in full the following: “In respect of Party B, the occurrence of any of the “Events of Default” as defined in the Credit Agreement”.</w:t>
      </w:r>
    </w:p>
    <w:p>
      <w:pPr>
        <w:pStyle w:val="BodyTextIndent"/>
        <w:rPr/>
      </w:pPr>
      <w:r>
        <w:rPr/>
        <w:t>1.2</w:t>
        <w:tab/>
        <w:t>The second paragraph of Part 1(a) of the ISDA Agreement which begins with the clause, “and in relation to Party B for the purpose of:” is hereby amended to delete each reference to “Affiliates” in such paragraph and replace each such reference with the phrase “Party B and its subsidiaries”.</w:t>
      </w:r>
    </w:p>
    <w:p>
      <w:pPr>
        <w:pStyle w:val="BodyTextIndent"/>
        <w:keepNext w:val="true"/>
        <w:rPr/>
      </w:pPr>
      <w:r>
        <w:rPr/>
        <w:t xml:space="preserve"> </w:t>
      </w:r>
      <w:r>
        <w:rPr/>
        <w:t>2.</w:t>
        <w:tab/>
      </w:r>
      <w:r>
        <w:rPr>
          <w:b/>
        </w:rPr>
        <w:t>Miscellaneous</w:t>
      </w:r>
      <w:r>
        <w:rPr/>
        <w:t>.</w:t>
      </w:r>
    </w:p>
    <w:p>
      <w:pPr>
        <w:pStyle w:val="BodyTextIndent"/>
        <w:keepNext w:val="true"/>
        <w:rPr/>
      </w:pPr>
      <w:r>
        <w:rPr/>
        <w:t>2.1.</w:t>
        <w:tab/>
        <w:t>Midcoast hereby advises Nova Scotia that as of the effective time of the Merger, Midcoast’s corporate name will change and will become “Enbridge Midcoast Energy, Inc.”.</w:t>
      </w:r>
    </w:p>
    <w:p>
      <w:pPr>
        <w:pStyle w:val="BodyTextIndent"/>
        <w:rPr/>
      </w:pPr>
      <w:r>
        <w:rPr/>
        <w:t>2.2</w:t>
        <w:tab/>
        <w:t>Except as expressly consented to and waived or agreed herein, all covenants, obligations and agreements of Midcoast contained in the ISDA Agreement shall remain in full force and effect in accordance with their terms, and the same are hereby ratified and confirmed by Midcoast in all respects.  Without limitation of the foregoing, the agreements set forth herein are limited expressly to the extent set forth herein and shall not be deemed to (i) be a consent or agreement to, or waiver or modification of, any other term or condition of the ISDA Agreement, or (ii) except as expressly set forth herein, prejudice any right or rights which Nova Scotia may now have or may have in the future under or in connection with the ISDA Agreement.</w:t>
      </w:r>
    </w:p>
    <w:p>
      <w:pPr>
        <w:pStyle w:val="BodyTextIndent"/>
        <w:rPr/>
      </w:pPr>
      <w:r>
        <w:rPr/>
        <w:t>2.3.</w:t>
        <w:tab/>
        <w:t>This Amendment and the rights and obligations of the parties hereunder shall be construed, governed and enforced under the laws of the State of Texas.</w:t>
      </w:r>
    </w:p>
    <w:p>
      <w:pPr>
        <w:pStyle w:val="BodyTextIndent"/>
        <w:rPr/>
      </w:pPr>
      <w:r>
        <w:rPr/>
        <w:t>2.4.</w:t>
        <w:tab/>
        <w:t>This Amendment and the documents referred to herein represent the entire understanding of the parties hereto regarding the subject matter hereof and supersede all prior and contemporaneous oral and written agreement of the parties hereto with respect to the subject matter hereof.</w:t>
      </w:r>
    </w:p>
    <w:p>
      <w:pPr>
        <w:pStyle w:val="BodyTextIndent"/>
        <w:rPr/>
      </w:pPr>
      <w:r>
        <w:rPr/>
        <w:t>2.5.</w:t>
        <w:tab/>
        <w:t>This Amendment may be separately executed in counterparts and by the different parties hereto in separate counterparts, each of which when so executed shall be deemed to constitute one and the same agreement.</w:t>
      </w:r>
    </w:p>
    <w:p>
      <w:pPr>
        <w:pStyle w:val="BodyTextIndent"/>
        <w:rPr/>
      </w:pPr>
      <w:r>
        <w:rPr/>
        <w:t>Executed and effective as of May ___, 2001.</w:t>
      </w:r>
    </w:p>
    <w:p>
      <w:pPr>
        <w:pStyle w:val="Normal"/>
        <w:rPr/>
      </w:pPr>
      <w:r>
        <w:rPr/>
      </w:r>
    </w:p>
    <w:p>
      <w:pPr>
        <w:pStyle w:val="Normal"/>
        <w:rPr/>
      </w:pPr>
      <w:r>
        <w:rPr/>
        <w:tab/>
        <w:tab/>
        <w:tab/>
        <w:tab/>
        <w:tab/>
        <w:t>MIDCOAST ENERGY RESOURCES, INC.</w:t>
      </w:r>
    </w:p>
    <w:p>
      <w:pPr>
        <w:pStyle w:val="Normal"/>
        <w:ind w:start="3600" w:end="0"/>
        <w:rPr/>
      </w:pPr>
      <w:r>
        <w:rPr/>
      </w:r>
    </w:p>
    <w:p>
      <w:pPr>
        <w:pStyle w:val="Normal"/>
        <w:ind w:start="3600" w:end="0"/>
        <w:rPr/>
      </w:pPr>
      <w:r>
        <w:rPr/>
      </w:r>
    </w:p>
    <w:p>
      <w:pPr>
        <w:pStyle w:val="Normal"/>
        <w:ind w:start="3600" w:end="0"/>
        <w:rPr/>
      </w:pPr>
      <w:r>
        <w:rPr/>
        <w:t>By</w:t>
        <w:tab/>
        <w:t>_________________________________</w:t>
      </w:r>
    </w:p>
    <w:p>
      <w:pPr>
        <w:pStyle w:val="Normal"/>
        <w:ind w:start="3600" w:end="0"/>
        <w:rPr/>
      </w:pPr>
      <w:r>
        <w:rPr/>
        <w:t>Name:__________________________________</w:t>
      </w:r>
    </w:p>
    <w:p>
      <w:pPr>
        <w:pStyle w:val="Normal"/>
        <w:ind w:start="3600" w:end="0"/>
        <w:rPr/>
      </w:pPr>
      <w:r>
        <w:rPr/>
        <w:t>Title:___________________________________</w:t>
      </w:r>
    </w:p>
    <w:p>
      <w:pPr>
        <w:pStyle w:val="Normal"/>
        <w:ind w:start="3600" w:end="0"/>
        <w:rPr/>
      </w:pPr>
      <w:r>
        <w:rPr/>
      </w:r>
    </w:p>
    <w:p>
      <w:pPr>
        <w:pStyle w:val="Normal"/>
        <w:ind w:start="3600" w:end="0"/>
        <w:rPr/>
      </w:pPr>
      <w:r>
        <w:rPr/>
      </w:r>
    </w:p>
    <w:p>
      <w:pPr>
        <w:pStyle w:val="Normal"/>
        <w:ind w:start="3600" w:end="0"/>
        <w:rPr/>
      </w:pPr>
      <w:r>
        <w:rPr/>
        <w:t>THE BANK OF NOVA SCOTIA</w:t>
      </w:r>
    </w:p>
    <w:p>
      <w:pPr>
        <w:pStyle w:val="Normal"/>
        <w:ind w:start="3600" w:end="0"/>
        <w:rPr/>
      </w:pPr>
      <w:r>
        <w:rPr/>
      </w:r>
    </w:p>
    <w:p>
      <w:pPr>
        <w:pStyle w:val="Normal"/>
        <w:ind w:start="3600" w:end="0"/>
        <w:rPr/>
      </w:pPr>
      <w:r>
        <w:rPr/>
      </w:r>
    </w:p>
    <w:p>
      <w:pPr>
        <w:pStyle w:val="Normal"/>
        <w:ind w:start="3600" w:end="0"/>
        <w:rPr/>
      </w:pPr>
      <w:r>
        <w:rPr/>
        <w:t>By:</w:t>
        <w:tab/>
        <w:t>_________________________________</w:t>
      </w:r>
    </w:p>
    <w:p>
      <w:pPr>
        <w:pStyle w:val="Normal"/>
        <w:ind w:start="3600" w:end="0"/>
        <w:rPr/>
      </w:pPr>
      <w:r>
        <w:rPr/>
        <w:t>Name:__________________________________</w:t>
      </w:r>
    </w:p>
    <w:p>
      <w:pPr>
        <w:pStyle w:val="Normal"/>
        <w:ind w:start="3600" w:end="0"/>
        <w:rPr/>
      </w:pPr>
      <w:r>
        <w:rPr/>
        <w:t>Title:___________________________________</w:t>
      </w:r>
    </w:p>
    <w:p>
      <w:pPr>
        <w:pStyle w:val="Normal"/>
        <w:ind w:start="3600" w:end="0"/>
        <w:rPr/>
      </w:pPr>
      <w:r>
        <w:rPr/>
      </w:r>
    </w:p>
    <w:sectPr>
      <w:footerReference w:type="default" r:id="rId2"/>
      <w:type w:val="nextPage"/>
      <w:pgSz w:w="12240" w:h="15840"/>
      <w:pgMar w:left="1800" w:right="1800" w:gutter="0" w:header="0" w:top="1267" w:footer="144" w:bottom="12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3168"/>
      <w:gridCol w:w="2340"/>
      <w:gridCol w:w="3348"/>
    </w:tblGrid>
    <w:tr>
      <w:trPr/>
      <w:tc>
        <w:tcPr>
          <w:tcW w:w="3168" w:type="dxa"/>
          <w:tcBorders/>
        </w:tcPr>
        <w:p>
          <w:pPr>
            <w:pStyle w:val="DocumentInformation"/>
            <w:rPr/>
          </w:pPr>
          <w:r>
            <w:rPr/>
            <w:fldChar w:fldCharType="begin"/>
          </w:r>
          <w:r>
            <w:rPr/>
            <w:instrText xml:space="preserve"> DOCPROPERTY "DocNumber"</w:instrText>
          </w:r>
          <w:r>
            <w:rPr/>
            <w:fldChar w:fldCharType="separate"/>
          </w:r>
          <w:r>
            <w:rPr/>
            <w:t>45030923.4</w:t>
          </w:r>
          <w:r>
            <w:rPr/>
            <w:fldChar w:fldCharType="end"/>
          </w:r>
          <w:r>
            <w:rPr/>
            <w:t xml:space="preserve">  </w:t>
          </w:r>
        </w:p>
        <w:p>
          <w:pPr>
            <w:pStyle w:val="DocumentInformation"/>
            <w:rPr/>
          </w:pPr>
          <w:r>
            <w:rPr/>
          </w:r>
        </w:p>
      </w:tc>
      <w:tc>
        <w:tcPr>
          <w:tcW w:w="2340" w:type="dxa"/>
          <w:tcBorders/>
        </w:tcPr>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tc>
      <w:tc>
        <w:tcPr>
          <w:tcW w:w="3348" w:type="dxa"/>
          <w:tcBorders/>
        </w:tcPr>
        <w:p>
          <w:pPr>
            <w:pStyle w:val="Footer"/>
            <w:jc w:val="end"/>
            <w:rPr/>
          </w:pPr>
          <w:r>
            <w:rPr>
              <w:i/>
              <w:sz w:val="16"/>
            </w:rPr>
            <w:t>Midcoast Energy Resources Inc:  Consent.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LTFontsClean" w:val="True"/>
    <w:docVar w:name="zzmpnSession" w:val="0.606365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jc w:val="center"/>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rPr>
  </w:style>
  <w:style w:type="character" w:styleId="WW8Num13z0">
    <w:name w:val="WW8Num13z0"/>
    <w:qFormat/>
    <w:rPr/>
  </w:style>
  <w:style w:type="character" w:styleId="WW8Num14z0">
    <w:name w:val="WW8Num14z0"/>
    <w:qFormat/>
    <w:rPr>
      <w:b/>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360"/>
      <w:jc w:val="center"/>
      <w:outlineLvl w:val="0"/>
    </w:pPr>
    <w:rPr>
      <w:b/>
      <w:caps/>
      <w:sz w:val="22"/>
      <w:u w:val="single"/>
    </w:rPr>
  </w:style>
  <w:style w:type="paragraph" w:styleId="BodyText">
    <w:name w:val="Body Text"/>
    <w:basedOn w:val="Normal"/>
    <w:pPr>
      <w:spacing w:before="0" w:after="240"/>
      <w:ind w:hanging="720" w:start="72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left" w:pos="5040" w:leader="none"/>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smallCaps/>
      <w:sz w:val="22"/>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BodyTextIndent">
    <w:name w:val="Body Text Indent"/>
    <w:basedOn w:val="Normal"/>
    <w:pPr>
      <w:spacing w:before="0" w:after="240"/>
      <w:ind w:firstLine="720" w:start="0" w:end="0"/>
      <w:jc w:val="both"/>
    </w:pPr>
    <w:rPr>
      <w:sz w:val="22"/>
    </w:rPr>
  </w:style>
  <w:style w:type="paragraph" w:styleId="BodyTextFirstIndent">
    <w:name w:val="Body Text First Indent"/>
    <w:basedOn w:val="BodyText"/>
    <w:qFormat/>
    <w:pPr>
      <w:spacing w:before="0" w:after="120"/>
      <w:ind w:firstLine="360" w:start="720" w:end="0"/>
    </w:pPr>
    <w:rPr/>
  </w:style>
  <w:style w:type="paragraph" w:styleId="BodyTextIndent2">
    <w:name w:val="Body Text Indent 2"/>
    <w:basedOn w:val="Normal"/>
    <w:qFormat/>
    <w:pPr>
      <w:spacing w:before="0" w:after="240"/>
      <w:ind w:hanging="720" w:start="1440" w:end="0"/>
      <w:jc w:val="both"/>
    </w:pPr>
    <w:rPr/>
  </w:style>
  <w:style w:type="paragraph" w:styleId="No1">
    <w:name w:val="No. 1"/>
    <w:basedOn w:val="BodyTextIndent"/>
    <w:qFormat/>
    <w:pPr/>
    <w:rPr/>
  </w:style>
  <w:style w:type="paragraph" w:styleId="STANDARDPARAGRAPH">
    <w:name w:val="STANDARD PARAGRAPH"/>
    <w:qFormat/>
    <w:pPr>
      <w:keepLines/>
      <w:widowControl/>
      <w:bidi w:val="0"/>
      <w:spacing w:lineRule="exact" w:line="240" w:before="240" w:after="0"/>
    </w:pPr>
    <w:rPr>
      <w:rFonts w:ascii="Bookman;Bookman Old Style" w:hAnsi="Bookman;Bookman Old Style" w:eastAsia="Times New Roman" w:cs="Bookman;Bookman Old Style"/>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2001-05-03T12:46:00Z</dcterms:created>
  <dc:creator>pj09411</dc:creator>
  <dc:description/>
  <dc:language>en-CA</dc:language>
  <cp:lastModifiedBy>boyleb</cp:lastModifiedBy>
  <cp:lastPrinted>2001-05-03T10:16:00Z</cp:lastPrinted>
  <dcterms:modified xsi:type="dcterms:W3CDTF">2001-05-03T12:46:00Z</dcterms:modified>
  <cp:revision>2</cp:revision>
  <dc:subject/>
  <dc:title>LIMITED WAIVER AND CONSENT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CW01124</vt:lpwstr>
  </property>
  <property fmtid="{D5CDD505-2E9C-101B-9397-08002B2CF9AE}" pid="4" name="AuthorName">
    <vt:lpwstr>WELLS, CANDICE</vt:lpwstr>
  </property>
  <property fmtid="{D5CDD505-2E9C-101B-9397-08002B2CF9AE}" pid="5" name="ClientID">
    <vt:lpwstr>047477</vt:lpwstr>
  </property>
  <property fmtid="{D5CDD505-2E9C-101B-9397-08002B2CF9AE}" pid="6" name="ClientName">
    <vt:lpwstr>ENBRIDGE</vt:lpwstr>
  </property>
  <property fmtid="{D5CDD505-2E9C-101B-9397-08002B2CF9AE}" pid="7" name="CreationDate">
    <vt:lpwstr>02/15/2001</vt:lpwstr>
  </property>
  <property fmtid="{D5CDD505-2E9C-101B-9397-08002B2CF9AE}" pid="8" name="Database">
    <vt:lpwstr>Transactional</vt:lpwstr>
  </property>
  <property fmtid="{D5CDD505-2E9C-101B-9397-08002B2CF9AE}" pid="9" name="DocName">
    <vt:lpwstr>Midcoast/Waiver for ISDA Swap with Scotia Bank</vt:lpwstr>
  </property>
  <property fmtid="{D5CDD505-2E9C-101B-9397-08002B2CF9AE}" pid="10" name="DocNumber">
    <vt:lpwstr>45030923.4</vt:lpwstr>
  </property>
  <property fmtid="{D5CDD505-2E9C-101B-9397-08002B2CF9AE}" pid="11" name="DocTypeDsc">
    <vt:lpwstr>OTHER DOCUMENTS NEEDING VERSION CONTROL</vt:lpwstr>
  </property>
  <property fmtid="{D5CDD505-2E9C-101B-9397-08002B2CF9AE}" pid="12" name="DocTypeID">
    <vt:lpwstr>VERCON</vt:lpwstr>
  </property>
  <property fmtid="{D5CDD505-2E9C-101B-9397-08002B2CF9AE}" pid="13" name="LastEditDate">
    <vt:lpwstr>02/16/2001</vt:lpwstr>
  </property>
  <property fmtid="{D5CDD505-2E9C-101B-9397-08002B2CF9AE}" pid="14" name="Location">
    <vt:lpwstr> </vt:lpwstr>
  </property>
  <property fmtid="{D5CDD505-2E9C-101B-9397-08002B2CF9AE}" pid="15" name="MatterID">
    <vt:lpwstr>10024957</vt:lpwstr>
  </property>
  <property fmtid="{D5CDD505-2E9C-101B-9397-08002B2CF9AE}" pid="16" name="MatterName">
    <vt:lpwstr>LAKEHEAD PIPE LINE PARTNERS L.P.</vt:lpwstr>
  </property>
  <property fmtid="{D5CDD505-2E9C-101B-9397-08002B2CF9AE}" pid="17" name="TypistID">
    <vt:lpwstr>CW01124</vt:lpwstr>
  </property>
  <property fmtid="{D5CDD505-2E9C-101B-9397-08002B2CF9AE}" pid="18" name="TypistName">
    <vt:lpwstr>JACKSON, PATRICIA</vt:lpwstr>
  </property>
</Properties>
</file>