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Louise Kitchen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Jean Mrha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PRC – Mid Year Bullet Points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b/>
          <w:bCs/>
          <w:i/>
          <w:i/>
          <w:iCs/>
        </w:rPr>
      </w:pPr>
      <w:r>
        <w:rPr>
          <w:b/>
          <w:bCs/>
          <w:i/>
          <w:iCs/>
        </w:rPr>
        <w:t>Bridgeline –</w:t>
      </w:r>
    </w:p>
    <w:p>
      <w:pPr>
        <w:pStyle w:val="Body"/>
        <w:rPr/>
      </w:pPr>
      <w:r>
        <w:rPr/>
      </w:r>
    </w:p>
    <w:p>
      <w:pPr>
        <w:pStyle w:val="Body"/>
        <w:numPr>
          <w:ilvl w:val="0"/>
          <w:numId w:val="2"/>
        </w:numPr>
        <w:rPr/>
      </w:pPr>
      <w:r>
        <w:rPr/>
        <w:t>As a board member, manage ENA’s forty percent equity interest in BHLP.</w:t>
      </w:r>
    </w:p>
    <w:p>
      <w:pPr>
        <w:pStyle w:val="Body"/>
        <w:numPr>
          <w:ilvl w:val="0"/>
          <w:numId w:val="2"/>
        </w:numPr>
        <w:rPr/>
      </w:pPr>
      <w:r>
        <w:rPr/>
        <w:t>Supervised proposed BHLP compensation plan.  Worked with human resources and compensation to set up appropriate incentive mechanisms to achieve 2001 EBITDA target of $56 MM.</w:t>
      </w:r>
    </w:p>
    <w:p>
      <w:pPr>
        <w:pStyle w:val="Body"/>
        <w:numPr>
          <w:ilvl w:val="0"/>
          <w:numId w:val="2"/>
        </w:numPr>
        <w:rPr/>
      </w:pPr>
      <w:r>
        <w:rPr/>
        <w:t>Identified strategic issues for future sale of ENA equity interest.  Negotiated for higher cash payment from Bridgeline to “buy down” balance sheet.</w:t>
      </w:r>
    </w:p>
    <w:p>
      <w:pPr>
        <w:pStyle w:val="Body"/>
        <w:numPr>
          <w:ilvl w:val="0"/>
          <w:numId w:val="2"/>
        </w:numPr>
        <w:rPr/>
      </w:pPr>
      <w:r>
        <w:rPr/>
        <w:t>Interfaced with BHLP officers to solve commercial and accounting issues.  Proposed a FAS 9810 entity within BHLP to capture the relevant P&amp;L associated with merchant storage capacity and off-system transactions.</w:t>
      </w:r>
    </w:p>
    <w:p>
      <w:pPr>
        <w:pStyle w:val="Body"/>
        <w:numPr>
          <w:ilvl w:val="0"/>
          <w:numId w:val="2"/>
        </w:numPr>
        <w:rPr/>
      </w:pPr>
      <w:r>
        <w:rPr/>
        <w:t>Monetized additional value from pad gas in Dow Wells 13 &amp; 14 ($1 MM).  Approved working order to extract gas, which is covered by remaining prudence from forward sale.  Used conservative assumptions to hedge gas.  Residual accrual value will be recognized because 2.9 BCF of existing 3.9 BCF was hedged.</w:t>
      </w:r>
    </w:p>
    <w:p>
      <w:pPr>
        <w:pStyle w:val="Body"/>
        <w:numPr>
          <w:ilvl w:val="0"/>
          <w:numId w:val="2"/>
        </w:numPr>
        <w:rPr/>
      </w:pPr>
      <w:r>
        <w:rPr/>
        <w:t>Opened negotiations with Dow for sale of residual Napoleonville land (book value of $1.45 MM).  Storage group has also approached Texas Brine and OXY about land acquisition for brine operations.</w:t>
      </w:r>
    </w:p>
    <w:p>
      <w:pPr>
        <w:pStyle w:val="Body"/>
        <w:rPr>
          <w:b/>
          <w:bCs/>
          <w:i/>
          <w:i/>
          <w:iCs/>
        </w:rPr>
      </w:pPr>
      <w:r>
        <w:rPr>
          <w:b/>
          <w:bCs/>
          <w:i/>
          <w:iCs/>
        </w:rPr>
      </w:r>
    </w:p>
    <w:p>
      <w:pPr>
        <w:pStyle w:val="Body"/>
        <w:rPr>
          <w:b/>
          <w:bCs/>
          <w:i/>
          <w:i/>
          <w:iCs/>
        </w:rPr>
      </w:pPr>
      <w:r>
        <w:rPr>
          <w:b/>
          <w:bCs/>
          <w:i/>
          <w:iCs/>
        </w:rPr>
        <w:t>Upstream Products  - YTD Gross Margin $ 17 MM</w:t>
      </w:r>
    </w:p>
    <w:p>
      <w:pPr>
        <w:pStyle w:val="Body"/>
        <w:rPr>
          <w:b/>
          <w:bCs/>
          <w:i/>
          <w:i/>
          <w:iCs/>
        </w:rPr>
      </w:pPr>
      <w:r>
        <w:rPr>
          <w:b/>
          <w:bCs/>
          <w:i/>
          <w:iCs/>
        </w:rPr>
      </w:r>
    </w:p>
    <w:p>
      <w:pPr>
        <w:pStyle w:val="Body"/>
        <w:numPr>
          <w:ilvl w:val="0"/>
          <w:numId w:val="3"/>
        </w:numPr>
        <w:rPr/>
      </w:pPr>
      <w:r>
        <w:rPr/>
        <w:t>Manage and develop all commercial groups within Upstream Products: Production Offshore, The Wellhead Desk, Compression, Storage and Producer Ecommerce.</w:t>
      </w:r>
    </w:p>
    <w:p>
      <w:pPr>
        <w:pStyle w:val="Body"/>
        <w:numPr>
          <w:ilvl w:val="0"/>
          <w:numId w:val="3"/>
        </w:numPr>
        <w:rPr/>
      </w:pPr>
      <w:r>
        <w:rPr/>
        <w:t xml:space="preserve">Through May 2001, direct expenses are  $1.5 MM or 52% of approved plan allocation for same time period. </w:t>
      </w:r>
    </w:p>
    <w:p>
      <w:pPr>
        <w:pStyle w:val="Body"/>
        <w:numPr>
          <w:ilvl w:val="0"/>
          <w:numId w:val="3"/>
        </w:numPr>
        <w:rPr/>
      </w:pPr>
      <w:r>
        <w:rPr/>
        <w:t>Successfully negotiated the resurrection of the Formosa transaction with their upper management and assisted in deal closure. Transaction created value for ECF, ENA and EGM.  Negotiated origination from EGM, but unsuccessful with ECF.  Current deal value for ENA is $ 4.25 MM with potential upside for 2001.</w:t>
      </w:r>
    </w:p>
    <w:p>
      <w:pPr>
        <w:pStyle w:val="Body"/>
        <w:numPr>
          <w:ilvl w:val="0"/>
          <w:numId w:val="3"/>
        </w:numPr>
        <w:rPr/>
      </w:pPr>
      <w:r>
        <w:rPr/>
        <w:t>Reallocated Upstream’s equity interest in Crescendo back to ECR (Scott Josey).</w:t>
      </w:r>
    </w:p>
    <w:p>
      <w:pPr>
        <w:pStyle w:val="Body"/>
        <w:numPr>
          <w:ilvl w:val="0"/>
          <w:numId w:val="3"/>
        </w:numPr>
        <w:rPr/>
      </w:pPr>
      <w:r>
        <w:rPr/>
        <w:t>Producer Ecommerce</w:t>
      </w:r>
    </w:p>
    <w:p>
      <w:pPr>
        <w:pStyle w:val="Body"/>
        <w:numPr>
          <w:ilvl w:val="1"/>
          <w:numId w:val="3"/>
        </w:numPr>
        <w:rPr/>
      </w:pPr>
      <w:r>
        <w:rPr/>
        <w:t>With John Grass, negotiated and asked for warrants in Applied Terravision (ATS).  To ATS’ upper management, validated ENA receiving “free” warrants through inherent value of our brand name and approved 2001 expense budgets for Producer Ecommerce and Producer origination.</w:t>
      </w:r>
    </w:p>
    <w:p>
      <w:pPr>
        <w:pStyle w:val="Body"/>
        <w:numPr>
          <w:ilvl w:val="1"/>
          <w:numId w:val="3"/>
        </w:numPr>
        <w:rPr/>
      </w:pPr>
      <w:r>
        <w:rPr/>
        <w:t>Supervised the closure of the sales agreement with ATS for Enron Americas.  Contract is non-exclusive and is negotiated in Enron’s favor.  Enron receives twenty percent of net value for the life of the transaction of all customers introduced that purchase ATS accounting products and services.  In contrast, ATS only receives ten percent of net value for the first year of any customers introduced that purchase Enron’s back and mid system services.</w:t>
      </w:r>
    </w:p>
    <w:p>
      <w:pPr>
        <w:pStyle w:val="Body"/>
        <w:numPr>
          <w:ilvl w:val="1"/>
          <w:numId w:val="3"/>
        </w:numPr>
        <w:rPr/>
      </w:pPr>
      <w:r>
        <w:rPr/>
        <w:t>Assigned appropriate internal legal resources to develop a standard service agreement for Producers.  Utilized existing Canadian outsourcing agreement.</w:t>
      </w:r>
    </w:p>
    <w:p>
      <w:pPr>
        <w:pStyle w:val="Body"/>
        <w:numPr>
          <w:ilvl w:val="1"/>
          <w:numId w:val="3"/>
        </w:numPr>
        <w:rPr/>
      </w:pPr>
      <w:r>
        <w:rPr/>
        <w:t>Currently negotiating with Andex, non-operating producer, to be a Producer One client.</w:t>
      </w:r>
    </w:p>
    <w:p>
      <w:pPr>
        <w:pStyle w:val="Body"/>
        <w:numPr>
          <w:ilvl w:val="0"/>
          <w:numId w:val="3"/>
        </w:numPr>
        <w:rPr/>
      </w:pPr>
      <w:r>
        <w:rPr/>
        <w:t>Wellhead Desk</w:t>
      </w:r>
    </w:p>
    <w:p>
      <w:pPr>
        <w:pStyle w:val="Body"/>
        <w:numPr>
          <w:ilvl w:val="1"/>
          <w:numId w:val="3"/>
        </w:numPr>
        <w:rPr/>
      </w:pPr>
      <w:r>
        <w:rPr/>
        <w:t>Successful rollout of the Wellhead desk within three months.</w:t>
      </w:r>
    </w:p>
    <w:p>
      <w:pPr>
        <w:pStyle w:val="Body"/>
        <w:numPr>
          <w:ilvl w:val="1"/>
          <w:numId w:val="3"/>
        </w:numPr>
        <w:rPr/>
      </w:pPr>
      <w:r>
        <w:rPr/>
        <w:t>Traders transact with external counterparties and purchase wellhead gas using a standard agreement.</w:t>
      </w:r>
    </w:p>
    <w:p>
      <w:pPr>
        <w:pStyle w:val="Body"/>
        <w:numPr>
          <w:ilvl w:val="1"/>
          <w:numId w:val="3"/>
        </w:numPr>
        <w:rPr/>
      </w:pPr>
      <w:r>
        <w:rPr/>
        <w:t>Traders have received training on VAR, weather analysis and P&amp;L reports.</w:t>
      </w:r>
    </w:p>
    <w:p>
      <w:pPr>
        <w:pStyle w:val="Body"/>
        <w:numPr>
          <w:ilvl w:val="1"/>
          <w:numId w:val="3"/>
        </w:numPr>
        <w:rPr/>
      </w:pPr>
      <w:r>
        <w:rPr/>
        <w:t>Has a separate logistics group run by George Smith to handle intraday swing, balancing and nominations.</w:t>
      </w:r>
    </w:p>
    <w:p>
      <w:pPr>
        <w:pStyle w:val="Body"/>
        <w:numPr>
          <w:ilvl w:val="1"/>
          <w:numId w:val="3"/>
        </w:numPr>
        <w:rPr/>
      </w:pPr>
      <w:r>
        <w:rPr/>
        <w:t>Interfaced with ECR to purchase excess gas from VPP wells. Rolling out prior wellhead transactions currently incorporated into firm trading desks out to the Wellhead desk.</w:t>
      </w:r>
      <w:r>
        <w:br w:type="page"/>
      </w:r>
    </w:p>
    <w:p>
      <w:pPr>
        <w:pStyle w:val="Body"/>
        <w:ind w:start="792" w:end="0"/>
        <w:rPr/>
      </w:pPr>
      <w:r>
        <w:rPr/>
      </w:r>
    </w:p>
    <w:p>
      <w:pPr>
        <w:pStyle w:val="Body"/>
        <w:numPr>
          <w:ilvl w:val="0"/>
          <w:numId w:val="3"/>
        </w:numPr>
        <w:rPr/>
      </w:pPr>
      <w:r>
        <w:rPr/>
        <w:t>Production Offshore</w:t>
      </w:r>
    </w:p>
    <w:p>
      <w:pPr>
        <w:pStyle w:val="Body"/>
        <w:numPr>
          <w:ilvl w:val="1"/>
          <w:numId w:val="3"/>
        </w:numPr>
        <w:rPr/>
      </w:pPr>
      <w:r>
        <w:rPr/>
        <w:t>Dissolved Production Offshore and redeployed its human capital. Reassigned Kevin Miller and Ken Loch as Producer One specialists and John Grass as head of Wellhead desk.</w:t>
      </w:r>
    </w:p>
    <w:p>
      <w:pPr>
        <w:pStyle w:val="Body"/>
        <w:numPr>
          <w:ilvl w:val="1"/>
          <w:numId w:val="3"/>
        </w:numPr>
        <w:rPr/>
      </w:pPr>
      <w:r>
        <w:rPr/>
        <w:t>Identified capital and earnings issues with Pluto/MEGs.  Reallocated transaction to ECR/Mariner.</w:t>
      </w:r>
    </w:p>
    <w:p>
      <w:pPr>
        <w:pStyle w:val="Body"/>
        <w:numPr>
          <w:ilvl w:val="0"/>
          <w:numId w:val="3"/>
        </w:numPr>
        <w:rPr/>
      </w:pPr>
      <w:r>
        <w:rPr/>
        <w:t>Storage</w:t>
      </w:r>
    </w:p>
    <w:p>
      <w:pPr>
        <w:pStyle w:val="Body"/>
        <w:numPr>
          <w:ilvl w:val="1"/>
          <w:numId w:val="3"/>
        </w:numPr>
        <w:rPr/>
      </w:pPr>
      <w:r>
        <w:rPr/>
        <w:t>Interfaced with Regulatory affairs to allocate resources (legal, consulting and internal).</w:t>
      </w:r>
    </w:p>
    <w:p>
      <w:pPr>
        <w:pStyle w:val="Body"/>
        <w:numPr>
          <w:ilvl w:val="1"/>
          <w:numId w:val="3"/>
        </w:numPr>
        <w:rPr/>
      </w:pPr>
      <w:r>
        <w:rPr/>
        <w:t>Hired employees to staff commercial group behind Bieniawski.</w:t>
      </w:r>
    </w:p>
    <w:p>
      <w:pPr>
        <w:pStyle w:val="Body"/>
        <w:numPr>
          <w:ilvl w:val="1"/>
          <w:numId w:val="3"/>
        </w:numPr>
        <w:rPr/>
      </w:pPr>
      <w:r>
        <w:rPr/>
        <w:t>Identified appropriate monetization structures targeting pipelines and utilities.</w:t>
      </w:r>
    </w:p>
    <w:p>
      <w:pPr>
        <w:pStyle w:val="Body"/>
        <w:numPr>
          <w:ilvl w:val="0"/>
          <w:numId w:val="3"/>
        </w:numPr>
        <w:rPr/>
      </w:pPr>
      <w:r>
        <w:rPr/>
        <w:t>ECS</w:t>
      </w:r>
    </w:p>
    <w:p>
      <w:pPr>
        <w:pStyle w:val="Body"/>
        <w:numPr>
          <w:ilvl w:val="1"/>
          <w:numId w:val="3"/>
        </w:numPr>
        <w:rPr/>
      </w:pPr>
      <w:r>
        <w:rPr/>
        <w:t>Struggled for two quarters to receive appropriate resources to price third party horsepower transactions through EES risk management.</w:t>
      </w:r>
    </w:p>
    <w:p>
      <w:pPr>
        <w:pStyle w:val="Body"/>
        <w:numPr>
          <w:ilvl w:val="1"/>
          <w:numId w:val="3"/>
        </w:numPr>
        <w:rPr/>
      </w:pPr>
      <w:r>
        <w:rPr/>
        <w:t>Assessing deal opportunities associated with compression transcending the spark spread.  For example, ECS has closed a “virtual compression” deal with Tennessee.  “Virtual compression” maintains the contractual obligation to fulfill the physical delivery of molecules and circumvents the need for running compression.</w:t>
      </w:r>
    </w:p>
    <w:p>
      <w:pPr>
        <w:pStyle w:val="Body"/>
        <w:numPr>
          <w:ilvl w:val="0"/>
          <w:numId w:val="3"/>
        </w:numPr>
        <w:rPr/>
      </w:pPr>
      <w:r>
        <w:rPr/>
        <w:t>J.M. Huber, TCC</w:t>
      </w:r>
    </w:p>
    <w:p>
      <w:pPr>
        <w:pStyle w:val="Body"/>
        <w:numPr>
          <w:ilvl w:val="1"/>
          <w:numId w:val="3"/>
        </w:numPr>
        <w:rPr/>
      </w:pPr>
      <w:r>
        <w:rPr/>
        <w:t>Negotiated with Credit to maintain credit reserve against J.M. Huber producer netback deal at $400K.  Credit wanted incremental monies (as high as $530 K).</w:t>
      </w:r>
    </w:p>
    <w:p>
      <w:pPr>
        <w:pStyle w:val="Body"/>
        <w:numPr>
          <w:ilvl w:val="1"/>
          <w:numId w:val="3"/>
        </w:numPr>
        <w:rPr/>
      </w:pPr>
      <w:r>
        <w:rPr/>
        <w:t>Assigned analysts (Tefel and Bennett) to track monthly P&amp;L generated by TCC for Upstream.</w:t>
      </w:r>
    </w:p>
    <w:p>
      <w:pPr>
        <w:pStyle w:val="CopyList"/>
        <w:ind w:hanging="0" w:start="0" w:end="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92"/>
        </w:tabs>
        <w:ind w:start="792" w:hanging="360"/>
      </w:pPr>
      <w:rPr>
        <w:rFonts w:ascii="Symbol" w:hAnsi="Symbol" w:cs="Symbol" w:hint="default"/>
      </w:rPr>
    </w:lvl>
    <w:lvl w:ilvl="1">
      <w:start w:val="1"/>
      <w:numFmt w:val="bullet"/>
      <w:lvlText w:val="o"/>
      <w:lvlJc w:val="start"/>
      <w:pPr>
        <w:tabs>
          <w:tab w:val="num" w:pos="1512"/>
        </w:tabs>
        <w:ind w:start="1512" w:hanging="360"/>
      </w:pPr>
      <w:rPr>
        <w:rFonts w:ascii="Courier New" w:hAnsi="Courier New" w:cs="Courier New" w:hint="default"/>
      </w:rPr>
    </w:lvl>
    <w:lvl w:ilvl="2">
      <w:start w:val="1"/>
      <w:numFmt w:val="bullet"/>
      <w:lvlText w:val=""/>
      <w:lvlJc w:val="start"/>
      <w:pPr>
        <w:tabs>
          <w:tab w:val="num" w:pos="2232"/>
        </w:tabs>
        <w:ind w:start="2232" w:hanging="360"/>
      </w:pPr>
      <w:rPr>
        <w:rFonts w:ascii="Wingdings" w:hAnsi="Wingdings" w:cs="Wingdings" w:hint="default"/>
      </w:rPr>
    </w:lvl>
    <w:lvl w:ilvl="3">
      <w:start w:val="1"/>
      <w:numFmt w:val="bullet"/>
      <w:lvlText w:val=""/>
      <w:lvlJc w:val="start"/>
      <w:pPr>
        <w:tabs>
          <w:tab w:val="num" w:pos="2952"/>
        </w:tabs>
        <w:ind w:start="2952" w:hanging="360"/>
      </w:pPr>
      <w:rPr>
        <w:rFonts w:ascii="Symbol" w:hAnsi="Symbol" w:cs="Symbol" w:hint="default"/>
      </w:rPr>
    </w:lvl>
    <w:lvl w:ilvl="4">
      <w:start w:val="1"/>
      <w:numFmt w:val="bullet"/>
      <w:lvlText w:val="o"/>
      <w:lvlJc w:val="start"/>
      <w:pPr>
        <w:tabs>
          <w:tab w:val="num" w:pos="3672"/>
        </w:tabs>
        <w:ind w:start="3672" w:hanging="360"/>
      </w:pPr>
      <w:rPr>
        <w:rFonts w:ascii="Courier New" w:hAnsi="Courier New" w:cs="Courier New" w:hint="default"/>
      </w:rPr>
    </w:lvl>
    <w:lvl w:ilvl="5">
      <w:start w:val="1"/>
      <w:numFmt w:val="bullet"/>
      <w:lvlText w:val=""/>
      <w:lvlJc w:val="start"/>
      <w:pPr>
        <w:tabs>
          <w:tab w:val="num" w:pos="4392"/>
        </w:tabs>
        <w:ind w:start="4392" w:hanging="360"/>
      </w:pPr>
      <w:rPr>
        <w:rFonts w:ascii="Wingdings" w:hAnsi="Wingdings" w:cs="Wingdings" w:hint="default"/>
      </w:rPr>
    </w:lvl>
    <w:lvl w:ilvl="6">
      <w:start w:val="1"/>
      <w:numFmt w:val="bullet"/>
      <w:lvlText w:val=""/>
      <w:lvlJc w:val="start"/>
      <w:pPr>
        <w:tabs>
          <w:tab w:val="num" w:pos="5112"/>
        </w:tabs>
        <w:ind w:start="5112" w:hanging="360"/>
      </w:pPr>
      <w:rPr>
        <w:rFonts w:ascii="Symbol" w:hAnsi="Symbol" w:cs="Symbol" w:hint="default"/>
      </w:rPr>
    </w:lvl>
    <w:lvl w:ilvl="7">
      <w:start w:val="1"/>
      <w:numFmt w:val="bullet"/>
      <w:lvlText w:val="o"/>
      <w:lvlJc w:val="start"/>
      <w:pPr>
        <w:tabs>
          <w:tab w:val="num" w:pos="5832"/>
        </w:tabs>
        <w:ind w:start="5832" w:hanging="360"/>
      </w:pPr>
      <w:rPr>
        <w:rFonts w:ascii="Courier New" w:hAnsi="Courier New" w:cs="Courier New" w:hint="default"/>
      </w:rPr>
    </w:lvl>
    <w:lvl w:ilvl="8">
      <w:start w:val="1"/>
      <w:numFmt w:val="bullet"/>
      <w:lvlText w:val=""/>
      <w:lvlJc w:val="start"/>
      <w:pPr>
        <w:tabs>
          <w:tab w:val="num" w:pos="6552"/>
        </w:tabs>
        <w:ind w:start="6552"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2001-07-06T14:36:00Z</dcterms:created>
  <dc:creator>jmrha</dc:creator>
  <dc:description/>
  <dc:language>en-CA</dc:language>
  <cp:lastModifiedBy>jmrha</cp:lastModifiedBy>
  <dcterms:modified xsi:type="dcterms:W3CDTF">2001-07-06T16:43:00Z</dcterms:modified>
  <cp:revision>2</cp:revision>
  <dc:subject/>
  <dc:title>Better, Faster, Simpler Memo </dc:title>
</cp:coreProperties>
</file>