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16"/>
        </w:rPr>
      </w:pPr>
      <w:r>
        <w:rPr>
          <w:sz w:val="18"/>
        </w:rPr>
        <w:drawing>
          <wp:inline distT="0" distB="0" distL="0" distR="0">
            <wp:extent cx="2023110" cy="4565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0" r="-8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3566160</wp:posOffset>
                </wp:positionH>
                <wp:positionV relativeFrom="paragraph">
                  <wp:posOffset>-182880</wp:posOffset>
                </wp:positionV>
                <wp:extent cx="3109595" cy="64008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595" cy="640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aps/>
                                <w:sz w:val="40"/>
                              </w:rPr>
                              <w:t>Mid-Columbia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40"/>
                              </w:rPr>
                              <w:t xml:space="preserve">       Electricity Index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4.85pt;height:50.4pt;mso-wrap-distance-left:9.05pt;mso-wrap-distance-right:9.05pt;mso-wrap-distance-top:0pt;mso-wrap-distance-bottom:0pt;margin-top:-14.4pt;mso-position-vertical-relative:text;margin-left:280.8pt;mso-position-horizontal-relative:text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caps/>
                          <w:sz w:val="40"/>
                        </w:rPr>
                        <w:t>Mid-Columbia</w:t>
                      </w:r>
                      <w:r>
                        <w:rPr>
                          <w:rFonts w:cs="Arial" w:ascii="Arial" w:hAnsi="Arial"/>
                          <w:b/>
                          <w:sz w:val="40"/>
                        </w:rPr>
                        <w:t xml:space="preserve">       Electricity Index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b/>
          <w:sz w:val="44"/>
          <w:u w:val="single"/>
        </w:rPr>
        <w:t>Participants</w:t>
      </w:r>
      <w:r>
        <w:rPr>
          <w:b/>
          <w:sz w:val="28"/>
        </w:rPr>
        <w:t xml:space="preserve"> 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American Electric Power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Aquila Power Corporation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Avista Corporation (Washington Water Power)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Avista Energy, Incorporated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Chelan Public Utility District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CMS Marketing Services and Trading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Douglas County Public Utility District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Duke Power Marketing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DuPont Power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Dynegy Incorporated (Electric Clearinghouse Inc.)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El Paso Energy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Engage Energy U.S. L.P.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Enron Corporation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Eugene Water &amp; Electric Board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Hafslund Energy Trading, LLC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Idaho Power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LG&amp;E Energy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Merchant Energy Group of the Americas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McMinnville Water and Light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MIECO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Montana Power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Morgan Stanley &amp; Company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New Century Energies (Public Service of Colorado)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PacifiCorp.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Pennsylvania Power &amp; Light EnergyPlus, LLC. (PP&amp;L EnergyPlus, LLC)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PG&amp;E Energy Trading (US Gen.)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Portland General Electric (Enron Corporation)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Powerex (British Columbia Power Exchange Corporation)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Puget Sound Energy Inc. (Puget Sound Power &amp; Light)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Reliant Energy (NorAm Energy Services, Inc.)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Seattle City Light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Sempra Energy Trading Corporation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Silicon Valley Power (City of Santa Clara)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Snohomish County Public Utility District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Southern Company Energy Marketing L.P.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TransAlta Energy Marketing (US)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TransCanada Energy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US Generating Power Services (PG&amp;E Energy Trading)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Vitol Gas &amp; Electric (AVISTA ENERGY)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Washington Water Power (AVISTA Corp.)</w:t>
      </w:r>
    </w:p>
    <w:sectPr>
      <w:footerReference w:type="default" r:id="rId3"/>
      <w:type w:val="nextPage"/>
      <w:pgSz w:w="12240" w:h="158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53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/mnt/main-storage/datasets/enron-docs/doc/MidCpart.doc</w:t>
    </w:r>
    <w:r>
      <w:rPr/>
      <w:fldChar w:fldCharType="end"/>
    </w:r>
    <w:r>
      <w:rPr/>
      <w:t xml:space="preserve">                                                                                         </w:t>
    </w:r>
    <w:r>
      <w:rPr/>
      <w:t>Revised 01/05/2000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fxRecipient">
    <w:name w:val="wfxRecipient"/>
    <w:basedOn w:val="Normal"/>
    <w:qFormat/>
    <w:pPr/>
    <w:rPr/>
  </w:style>
  <w:style w:type="paragraph" w:styleId="wfxFaxNum">
    <w:name w:val="wfxFaxNum"/>
    <w:basedOn w:val="Normal"/>
    <w:qFormat/>
    <w:pPr/>
    <w:rPr/>
  </w:style>
  <w:style w:type="paragraph" w:styleId="wfxDate">
    <w:name w:val="wfxDate"/>
    <w:basedOn w:val="Normal"/>
    <w:qFormat/>
    <w:pPr/>
    <w:rPr/>
  </w:style>
  <w:style w:type="paragraph" w:styleId="wfxTime">
    <w:name w:val="wfxTime"/>
    <w:basedOn w:val="Normal"/>
    <w:qFormat/>
    <w:pPr/>
    <w:rPr/>
  </w:style>
  <w:style w:type="paragraph" w:styleId="wfxCompany">
    <w:name w:val="wfxCompany"/>
    <w:basedOn w:val="Normal"/>
    <w:qFormat/>
    <w:pPr/>
    <w:rPr/>
  </w:style>
  <w:style w:type="paragraph" w:styleId="wfxSubject">
    <w:name w:val="wfxSubjec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1999-12-08T19:17:00Z</dcterms:created>
  <dc:creator>Kathy Farley</dc:creator>
  <dc:description/>
  <dc:language>en-CA</dc:language>
  <cp:lastModifiedBy>Günther Pergher</cp:lastModifiedBy>
  <cp:lastPrinted>2000-03-15T09:37:00Z</cp:lastPrinted>
  <dcterms:modified xsi:type="dcterms:W3CDTF">2000-03-15T12:07:00Z</dcterms:modified>
  <cp:revision>5</cp:revision>
  <dc:subject/>
  <dc:title> </dc:title>
</cp:coreProperties>
</file>