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Override PartName="/word/media/image2.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1622" w:dyaOrig="161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1.1pt;height:80.85pt" filled="f" o:ole="">
            <v:imagedata r:id="rId3" o:title=""/>
          </v:shape>
          <o:OLEObject Type="Embed" ProgID="" ShapeID="ole_rId2" DrawAspect="Content" ObjectID="_379709980" r:id="rId2"/>
        </w:object>
      </w:r>
      <w:r>
        <mc:AlternateContent>
          <mc:Choice Requires="wps">
            <w:drawing>
              <wp:anchor behindDoc="0" distT="0" distB="0" distL="114935" distR="114935" simplePos="0" locked="0" layoutInCell="1" allowOverlap="1" relativeHeight="5">
                <wp:simplePos x="0" y="0"/>
                <wp:positionH relativeFrom="column">
                  <wp:posOffset>3948430</wp:posOffset>
                </wp:positionH>
                <wp:positionV relativeFrom="paragraph">
                  <wp:posOffset>91440</wp:posOffset>
                </wp:positionV>
                <wp:extent cx="2379345" cy="914400"/>
                <wp:effectExtent l="0" t="0" r="0" b="0"/>
                <wp:wrapNone/>
                <wp:docPr id="1" name="Frame1"/>
                <a:graphic xmlns:a="http://schemas.openxmlformats.org/drawingml/2006/main">
                  <a:graphicData uri="http://schemas.microsoft.com/office/word/2010/wordprocessingShape">
                    <wps:wsp>
                      <wps:cNvSpPr txBox="1"/>
                      <wps:spPr>
                        <a:xfrm>
                          <a:off x="0" y="0"/>
                          <a:ext cx="2379345" cy="914400"/>
                        </a:xfrm>
                        <a:prstGeom prst="rect"/>
                        <a:solidFill>
                          <a:srgbClr val="FFFFFF">
                            <a:alpha val="0"/>
                          </a:srgbClr>
                        </a:solidFill>
                      </wps:spPr>
                      <wps:txbx>
                        <w:txbxContent>
                          <w:p>
                            <w:pPr>
                              <w:pStyle w:val="Normal"/>
                              <w:rPr>
                                <w:b/>
                              </w:rPr>
                            </w:pPr>
                            <w:r>
                              <w:rPr>
                                <w:b/>
                              </w:rPr>
                              <w:t>Jose M. Bestard</w:t>
                            </w:r>
                          </w:p>
                          <w:p>
                            <w:pPr>
                              <w:pStyle w:val="Normal"/>
                              <w:rPr/>
                            </w:pPr>
                            <w:r>
                              <w:rPr/>
                              <w:t>Vice President - Governmental Affairs</w:t>
                            </w:r>
                          </w:p>
                          <w:p>
                            <w:pPr>
                              <w:pStyle w:val="Normal"/>
                              <w:rPr>
                                <w:b/>
                              </w:rPr>
                            </w:pPr>
                            <w:r>
                              <w:rPr>
                                <w:b/>
                              </w:rPr>
                            </w:r>
                          </w:p>
                          <w:p>
                            <w:pPr>
                              <w:pStyle w:val="Normal"/>
                              <w:rPr>
                                <w:b/>
                              </w:rPr>
                            </w:pPr>
                            <w:r>
                              <w:rPr>
                                <w:b/>
                              </w:rPr>
                              <w:t>Enron Corp</w:t>
                            </w:r>
                          </w:p>
                          <w:p>
                            <w:pPr>
                              <w:pStyle w:val="Header"/>
                              <w:tabs>
                                <w:tab w:val="clear" w:pos="4320"/>
                                <w:tab w:val="clear" w:pos="8640"/>
                              </w:tabs>
                              <w:rPr/>
                            </w:pPr>
                            <w:r>
                              <w:rPr/>
                              <w:t>1400 Smith Street</w:t>
                            </w:r>
                          </w:p>
                          <w:p>
                            <w:pPr>
                              <w:pStyle w:val="Header"/>
                              <w:tabs>
                                <w:tab w:val="clear" w:pos="4320"/>
                                <w:tab w:val="clear" w:pos="8640"/>
                              </w:tabs>
                              <w:rPr/>
                            </w:pPr>
                            <w:r>
                              <w:rPr/>
                              <w:t>Houston, TX 77002-7361</w:t>
                            </w:r>
                          </w:p>
                        </w:txbxContent>
                      </wps:txbx>
                      <wps:bodyPr anchor="t" lIns="635" tIns="635" rIns="635" bIns="635">
                        <a:noAutofit/>
                      </wps:bodyPr>
                    </wps:wsp>
                  </a:graphicData>
                </a:graphic>
              </wp:anchor>
            </w:drawing>
          </mc:Choice>
          <mc:Fallback>
            <w:pict>
              <v:rect fillcolor="#FFFFFF" style="position:absolute;rotation:-0;width:187.35pt;height:72pt;mso-wrap-distance-left:9.05pt;mso-wrap-distance-right:9.05pt;mso-wrap-distance-top:0pt;mso-wrap-distance-bottom:0pt;margin-top:7.2pt;mso-position-vertical-relative:text;margin-left:310.9pt;mso-position-horizontal-relative:text">
                <v:fill opacity="0f"/>
                <v:textbox inset="0.000694444444444445in,0.000694444444444445in,0.000694444444444445in,0.000694444444444445in">
                  <w:txbxContent>
                    <w:p>
                      <w:pPr>
                        <w:pStyle w:val="Normal"/>
                        <w:rPr>
                          <w:b/>
                        </w:rPr>
                      </w:pPr>
                      <w:r>
                        <w:rPr>
                          <w:b/>
                        </w:rPr>
                        <w:t>Jose M. Bestard</w:t>
                      </w:r>
                    </w:p>
                    <w:p>
                      <w:pPr>
                        <w:pStyle w:val="Normal"/>
                        <w:rPr/>
                      </w:pPr>
                      <w:r>
                        <w:rPr/>
                        <w:t>Vice President - Governmental Affairs</w:t>
                      </w:r>
                    </w:p>
                    <w:p>
                      <w:pPr>
                        <w:pStyle w:val="Normal"/>
                        <w:rPr>
                          <w:b/>
                        </w:rPr>
                      </w:pPr>
                      <w:r>
                        <w:rPr>
                          <w:b/>
                        </w:rPr>
                      </w:r>
                    </w:p>
                    <w:p>
                      <w:pPr>
                        <w:pStyle w:val="Normal"/>
                        <w:rPr>
                          <w:b/>
                        </w:rPr>
                      </w:pPr>
                      <w:r>
                        <w:rPr>
                          <w:b/>
                        </w:rPr>
                        <w:t>Enron Corp</w:t>
                      </w:r>
                    </w:p>
                    <w:p>
                      <w:pPr>
                        <w:pStyle w:val="Header"/>
                        <w:tabs>
                          <w:tab w:val="clear" w:pos="4320"/>
                          <w:tab w:val="clear" w:pos="8640"/>
                        </w:tabs>
                        <w:rPr/>
                      </w:pPr>
                      <w:r>
                        <w:rPr/>
                        <w:t>1400 Smith Street</w:t>
                      </w:r>
                    </w:p>
                    <w:p>
                      <w:pPr>
                        <w:pStyle w:val="Header"/>
                        <w:tabs>
                          <w:tab w:val="clear" w:pos="4320"/>
                          <w:tab w:val="clear" w:pos="8640"/>
                        </w:tabs>
                        <w:rPr/>
                      </w:pPr>
                      <w:r>
                        <w:rPr/>
                        <w:t>Houston, TX 77002-7361</w:t>
                      </w:r>
                    </w:p>
                  </w:txbxContent>
                </v:textbox>
                <w10:wrap type="none"/>
              </v:rect>
            </w:pict>
          </mc:Fallback>
        </mc:AlternateContent>
      </w:r>
    </w:p>
    <w:p>
      <w:pPr>
        <w:pStyle w:val="Normal"/>
        <w:jc w:val="both"/>
        <w:rPr/>
      </w:pPr>
      <w:r>
        <w:rPr/>
      </w:r>
    </w:p>
    <w:p>
      <w:pPr>
        <w:pStyle w:val="Normal"/>
        <w:jc w:val="both"/>
        <w:rPr/>
      </w:pPr>
      <w:r>
        <w:rPr/>
        <w:t>Michael Gent, President and CEO</w:t>
      </w:r>
    </w:p>
    <w:p>
      <w:pPr>
        <w:pStyle w:val="Normal"/>
        <w:jc w:val="both"/>
        <w:rPr/>
      </w:pPr>
      <w:r>
        <w:rPr/>
        <w:t>North American Electric Reliability Council</w:t>
      </w:r>
    </w:p>
    <w:p>
      <w:pPr>
        <w:pStyle w:val="Normal"/>
        <w:jc w:val="both"/>
        <w:rPr/>
      </w:pPr>
      <w:r>
        <w:rPr/>
        <w:t>Princeton Forrestal Village</w:t>
      </w:r>
    </w:p>
    <w:p>
      <w:pPr>
        <w:pStyle w:val="Normal"/>
        <w:jc w:val="both"/>
        <w:rPr/>
      </w:pPr>
      <w:r>
        <w:rPr/>
        <w:t>116-390 Village Boulevard</w:t>
      </w:r>
    </w:p>
    <w:p>
      <w:pPr>
        <w:pStyle w:val="Normal"/>
        <w:jc w:val="both"/>
        <w:rPr/>
      </w:pPr>
      <w:r>
        <w:rPr/>
        <w:t>Princeton, New Jersey 08540-5731</w:t>
      </w:r>
    </w:p>
    <w:p>
      <w:pPr>
        <w:pStyle w:val="Normal"/>
        <w:jc w:val="end"/>
        <w:rPr/>
      </w:pPr>
      <w:r>
        <w:rPr/>
        <w:t>November 9, 2001</w:t>
      </w:r>
    </w:p>
    <w:p>
      <w:pPr>
        <w:pStyle w:val="Normal"/>
        <w:jc w:val="both"/>
        <w:rPr/>
      </w:pPr>
      <w:r>
        <w:rPr/>
      </w:r>
    </w:p>
    <w:p>
      <w:pPr>
        <w:pStyle w:val="Normal"/>
        <w:jc w:val="both"/>
        <w:rPr/>
      </w:pPr>
      <w:r>
        <w:rPr/>
        <w:t>Reference: Enron’s Interest in an Electric Standards Setting Organization</w:t>
      </w:r>
    </w:p>
    <w:p>
      <w:pPr>
        <w:pStyle w:val="Normal"/>
        <w:jc w:val="both"/>
        <w:rPr/>
      </w:pPr>
      <w:r>
        <w:rPr/>
      </w:r>
    </w:p>
    <w:p>
      <w:pPr>
        <w:pStyle w:val="Normal"/>
        <w:jc w:val="both"/>
        <w:rPr/>
      </w:pPr>
      <w:r>
        <w:rPr/>
        <w:t>Dear Mike:</w:t>
      </w:r>
    </w:p>
    <w:p>
      <w:pPr>
        <w:pStyle w:val="Normal"/>
        <w:jc w:val="both"/>
        <w:rPr/>
      </w:pPr>
      <w:r>
        <w:rPr/>
      </w:r>
    </w:p>
    <w:p>
      <w:pPr>
        <w:pStyle w:val="Normal"/>
        <w:rPr/>
      </w:pPr>
      <w:r>
        <w:rPr/>
        <w:t>This letter is a follow up to a request by Dave Nevius to clarify our views, which led to further reflection of what lies ahead as we strive to develop an adequate forum to address the commercial-reliability standard interfaces for the electric wholesale sector.</w:t>
      </w:r>
    </w:p>
    <w:p>
      <w:pPr>
        <w:pStyle w:val="Normal"/>
        <w:rPr/>
      </w:pPr>
      <w:r>
        <w:rPr/>
      </w:r>
    </w:p>
    <w:p>
      <w:pPr>
        <w:pStyle w:val="Normal"/>
        <w:rPr/>
      </w:pPr>
      <w:r>
        <w:rPr/>
        <w:t>I believe there is wide industry interest in creating a single forum. The difference is that participants in the sector I represent at the Stakeholders Committee are not comfortable that the existing NERC forum is, or will be, effective in incorporating open-access commercial practices into the existing reliability procedures. The Board of Trustees of NERC has acknowledged the challenge and directed initial actions to  enable NERC to be entrusted with this role. This is a positive step.</w:t>
      </w:r>
    </w:p>
    <w:p>
      <w:pPr>
        <w:pStyle w:val="Normal"/>
        <w:rPr/>
      </w:pPr>
      <w:r>
        <w:rPr/>
      </w:r>
    </w:p>
    <w:p>
      <w:pPr>
        <w:pStyle w:val="Normal"/>
        <w:rPr/>
      </w:pPr>
      <w:r>
        <w:rPr/>
        <w:t xml:space="preserve">I am referring to NERC in the wider sense of the participating community.  We must admit that some members feel comfortable with the status-quo while others have a sense of urgency to move ahead with the necessary steps to make the vision of regional electric power markets a functioning reality, to some extent “rewiring the network for more effective access”. </w:t>
      </w:r>
    </w:p>
    <w:p>
      <w:pPr>
        <w:pStyle w:val="Normal"/>
        <w:rPr/>
      </w:pPr>
      <w:r>
        <w:rPr/>
      </w:r>
    </w:p>
    <w:p>
      <w:pPr>
        <w:pStyle w:val="Normal"/>
        <w:rPr/>
      </w:pPr>
      <w:r>
        <w:rPr/>
        <w:t xml:space="preserve">I am not sure that we will be able to attain voluntary consensus either within NERC or within the industry. I tend to think we will need governmental action to decide, particularly because we still have a moving target about the details of how the wholesale sector should be managed; specifically, the Regional Transmission Organizations scope and management roles. As we move from “voluntary” to “mandatory” standards there are contentious issues that need to be resolved, and these fall outside the scope of NERC or any other industry organization. </w:t>
      </w:r>
    </w:p>
    <w:p>
      <w:pPr>
        <w:pStyle w:val="Normal"/>
        <w:rPr/>
      </w:pPr>
      <w:r>
        <w:rPr/>
      </w:r>
    </w:p>
    <w:p>
      <w:pPr>
        <w:pStyle w:val="Normal"/>
        <w:rPr/>
      </w:pPr>
      <w:r>
        <w:rPr/>
        <w:t>I am attaching a short encapsulation of Enron’s current position on fundamental aspects that need to be addressed in the development of this standard setting organization. You can count on us to remain engaged in the dialog.</w:t>
      </w:r>
    </w:p>
    <w:p>
      <w:pPr>
        <w:pStyle w:val="Normal"/>
        <w:rPr/>
      </w:pPr>
      <w:r>
        <w:rPr/>
      </w:r>
    </w:p>
    <w:p>
      <w:pPr>
        <w:pStyle w:val="Normal"/>
        <w:rPr/>
      </w:pPr>
      <w:r>
        <w:rPr/>
      </w:r>
    </w:p>
    <w:p>
      <w:pPr>
        <w:pStyle w:val="Normal"/>
        <w:rPr/>
      </w:pPr>
      <w:r>
        <w:rPr/>
      </w:r>
    </w:p>
    <w:p>
      <w:pPr>
        <w:pStyle w:val="Normal"/>
        <w:rPr/>
      </w:pPr>
      <w:r>
        <w:rPr/>
      </w:r>
    </w:p>
    <w:p>
      <w:pPr>
        <w:pStyle w:val="Normal"/>
        <w:rPr/>
      </w:pPr>
      <w:r>
        <w:rPr/>
        <w:t>Jose M. Bestard</w:t>
      </w:r>
    </w:p>
    <w:p>
      <w:pPr>
        <w:pStyle w:val="Heading"/>
        <w:spacing w:before="0" w:after="100"/>
        <w:jc w:val="start"/>
        <w:rPr>
          <w:b w:val="false"/>
          <w:caps w:val="false"/>
          <w:smallCaps w:val="false"/>
          <w:sz w:val="20"/>
          <w:lang w:val="en-US"/>
        </w:rPr>
      </w:pPr>
      <w:r>
        <w:rPr>
          <w:b w:val="false"/>
          <w:caps w:val="false"/>
          <w:smallCaps w:val="false"/>
          <w:sz w:val="20"/>
          <w:lang w:val="en-US"/>
        </w:rPr>
      </w:r>
    </w:p>
    <w:p>
      <w:pPr>
        <w:pStyle w:val="Heading"/>
        <w:spacing w:before="0" w:after="100"/>
        <w:jc w:val="start"/>
        <w:rPr>
          <w:b w:val="false"/>
          <w:caps w:val="false"/>
          <w:smallCaps w:val="false"/>
          <w:sz w:val="20"/>
          <w:lang w:val="en-US"/>
        </w:rPr>
      </w:pPr>
      <w:r>
        <w:rPr>
          <w:b w:val="false"/>
          <w:caps w:val="false"/>
          <w:smallCaps w:val="false"/>
          <w:sz w:val="20"/>
          <w:lang w:val="en-US"/>
        </w:rPr>
        <w:t>Cc</w:t>
        <w:tab/>
        <w:t>Dave Nevius</w:t>
      </w:r>
    </w:p>
    <w:p>
      <w:pPr>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pStyle w:val="Heading"/>
        <w:spacing w:before="0" w:after="100"/>
        <w:jc w:val="start"/>
        <w:rPr>
          <w:b w:val="false"/>
          <w:caps w:val="false"/>
          <w:smallCaps w:val="false"/>
          <w:sz w:val="20"/>
          <w:lang w:val="en-US"/>
        </w:rPr>
      </w:pPr>
      <w:r>
        <w:rPr>
          <w:b w:val="false"/>
          <w:caps w:val="false"/>
          <w:smallCaps w:val="false"/>
          <w:sz w:val="20"/>
          <w:lang w:val="en-US"/>
        </w:rPr>
        <w:tab/>
        <w:t>Michael Greene</w:t>
      </w:r>
    </w:p>
    <w:p>
      <w:pPr>
        <w:pStyle w:val="Normal"/>
        <w:spacing w:before="0" w:after="100"/>
        <w:rPr>
          <w:b w:val="false"/>
          <w:caps w:val="false"/>
          <w:smallCaps w:val="false"/>
          <w:sz w:val="20"/>
          <w:lang w:val="en-US"/>
        </w:rPr>
      </w:pPr>
      <w:r>
        <w:rPr>
          <w:b w:val="false"/>
          <w:caps w:val="false"/>
          <w:smallCaps w:val="false"/>
          <w:sz w:val="20"/>
          <w:lang w:val="en-US"/>
        </w:rPr>
      </w:r>
    </w:p>
    <w:p>
      <w:pPr>
        <w:pStyle w:val="Normal"/>
        <w:spacing w:before="0" w:after="100"/>
        <w:rPr/>
      </w:pPr>
      <w:r>
        <w:rPr/>
      </w:r>
    </w:p>
    <w:p>
      <w:pPr>
        <w:pStyle w:val="Normal"/>
        <w:spacing w:before="0" w:after="100"/>
        <w:rPr/>
      </w:pPr>
      <w:r>
        <w:rPr/>
        <w:t xml:space="preserve">Enron supports the formation of a single, FERC-created Standards Setting Organization (“SSO”) to provide a forum to develop standard practices for the operation and use of the electric grid.  Enron has consistently argued that the SSO must address both reliability requirements and commercial impacts within its scope.    </w:t>
      </w:r>
    </w:p>
    <w:p>
      <w:pPr>
        <w:pStyle w:val="Normal"/>
        <w:spacing w:before="0" w:after="100"/>
        <w:rPr/>
      </w:pPr>
      <w:r>
        <w:rPr/>
        <w:t xml:space="preserve">Enron recognizes the development of standard practices is best done inside a well-structured organization.  Enron believes that an SSO must have as its core organizational guiding principles:  </w:t>
      </w:r>
    </w:p>
    <w:p>
      <w:pPr>
        <w:pStyle w:val="Normal"/>
        <w:numPr>
          <w:ilvl w:val="0"/>
          <w:numId w:val="2"/>
        </w:numPr>
        <w:spacing w:before="0" w:after="100"/>
        <w:rPr/>
      </w:pPr>
      <w:r>
        <w:rPr/>
        <w:t xml:space="preserve">A </w:t>
      </w:r>
      <w:r>
        <w:rPr>
          <w:b/>
        </w:rPr>
        <w:t>fair</w:t>
      </w:r>
      <w:r>
        <w:rPr/>
        <w:t xml:space="preserve"> and </w:t>
      </w:r>
      <w:r>
        <w:rPr>
          <w:b/>
        </w:rPr>
        <w:t>unbiased</w:t>
      </w:r>
      <w:r>
        <w:rPr/>
        <w:t xml:space="preserve"> standards development and approval process,</w:t>
      </w:r>
    </w:p>
    <w:p>
      <w:pPr>
        <w:pStyle w:val="Normal"/>
        <w:numPr>
          <w:ilvl w:val="0"/>
          <w:numId w:val="2"/>
        </w:numPr>
        <w:spacing w:before="0" w:after="100"/>
        <w:rPr/>
      </w:pPr>
      <w:r>
        <w:rPr>
          <w:b/>
        </w:rPr>
        <w:t>Open membership</w:t>
      </w:r>
      <w:r>
        <w:rPr/>
        <w:t xml:space="preserve"> that allows all industry members to participate equally,</w:t>
      </w:r>
    </w:p>
    <w:p>
      <w:pPr>
        <w:pStyle w:val="Normal"/>
        <w:numPr>
          <w:ilvl w:val="0"/>
          <w:numId w:val="2"/>
        </w:numPr>
        <w:spacing w:before="0" w:after="100"/>
        <w:rPr/>
      </w:pPr>
      <w:r>
        <w:rPr>
          <w:b/>
        </w:rPr>
        <w:t>Funding</w:t>
      </w:r>
      <w:r>
        <w:rPr/>
        <w:t xml:space="preserve"> that allows the SSO to be fair to all users of the grid, and </w:t>
      </w:r>
    </w:p>
    <w:p>
      <w:pPr>
        <w:pStyle w:val="Normal"/>
        <w:numPr>
          <w:ilvl w:val="0"/>
          <w:numId w:val="2"/>
        </w:numPr>
        <w:spacing w:before="0" w:after="100"/>
        <w:rPr/>
      </w:pPr>
      <w:r>
        <w:rPr>
          <w:b/>
        </w:rPr>
        <w:t>FERC having clear and final authority</w:t>
      </w:r>
      <w:r>
        <w:rPr/>
        <w:t xml:space="preserve"> to approve the standard practices.</w:t>
      </w:r>
    </w:p>
    <w:p>
      <w:pPr>
        <w:pStyle w:val="Normal"/>
        <w:spacing w:before="0" w:after="100"/>
        <w:rPr/>
      </w:pPr>
      <w:r>
        <w:rPr/>
      </w:r>
    </w:p>
    <w:p>
      <w:pPr>
        <w:pStyle w:val="Heading1"/>
        <w:spacing w:before="0" w:after="100"/>
        <w:ind w:hanging="0" w:start="0"/>
        <w:rPr>
          <w:u w:val="single"/>
        </w:rPr>
      </w:pPr>
      <w:r>
        <w:rPr>
          <w:u w:val="single"/>
        </w:rPr>
        <w:t>Scope of the SSO – How to define Commercial and Reliability issues?</w:t>
      </w:r>
    </w:p>
    <w:p>
      <w:pPr>
        <w:pStyle w:val="Normal"/>
        <w:spacing w:before="0" w:after="100"/>
        <w:rPr/>
      </w:pPr>
      <w:r>
        <w:rPr/>
        <w:t xml:space="preserve">Enron recognizes that mandatory reliability rules must be in place and enforced to ensure reliable operations of the grid.  Enron believes that the FERC rulemaking process is the appropriate mechanism to establish an SSO for the standard development. </w:t>
      </w:r>
    </w:p>
    <w:p>
      <w:pPr>
        <w:pStyle w:val="Normal"/>
        <w:spacing w:before="0" w:after="100"/>
        <w:rPr/>
      </w:pPr>
      <w:r>
        <w:rPr/>
        <w:t>The  SSO must conceive of the work not as a trade-off between reliability concerns and commercial matters.  Rather, reliability requirements inherently  embedded in how  business was conducted in the past need to be adapted into how the business will be conducted through new modalities in the future. The SSO should focus on establishing standards that the marketplace must adhere to when a physical transaction is enabled by an RTO, as well as the manner in which an RTO utilizes market mechanisms to maintain reliability. This market interface with physical operation requirements is the core link between markets and reliability.  It must be the focus of the SSO standard practices.</w:t>
      </w:r>
    </w:p>
    <w:p>
      <w:pPr>
        <w:pStyle w:val="Normal"/>
        <w:spacing w:before="0" w:after="100"/>
        <w:rPr/>
      </w:pPr>
      <w:r>
        <w:rPr/>
        <w:t>The standards and procedures for the facilitation of physical transactions may be referred to as “business practices” or “commercial standards.”  These terms should not be confused with similar terms that may be used for commercial standards that do not require physical delivery on the grid.   Some examples of the relevant business practices that are inextricably tied to physical reliability standards and requirements are transmission reservations, tagging and scheduling, and transaction curtailment procedures.   The SSO should not develop other business standards that are divorced from physical operations, such as financial contract language or credit standards (although it could provide a forum for these discussions).</w:t>
      </w:r>
    </w:p>
    <w:p>
      <w:pPr>
        <w:pStyle w:val="Normal"/>
        <w:spacing w:before="0" w:after="100"/>
        <w:rPr/>
      </w:pPr>
      <w:r>
        <w:rPr/>
      </w:r>
    </w:p>
    <w:p>
      <w:pPr>
        <w:pStyle w:val="Heading1"/>
        <w:spacing w:before="0" w:after="100"/>
        <w:ind w:hanging="0" w:start="0"/>
        <w:rPr>
          <w:u w:val="single"/>
        </w:rPr>
      </w:pPr>
      <w:r>
        <w:rPr>
          <w:u w:val="single"/>
        </w:rPr>
        <w:t>The Standards Approval and Development Process</w:t>
      </w:r>
    </w:p>
    <w:p>
      <w:pPr>
        <w:pStyle w:val="Normal"/>
        <w:spacing w:before="0" w:after="100"/>
        <w:rPr/>
      </w:pPr>
      <w:r>
        <w:rPr/>
        <w:t xml:space="preserve">Enron believes that all standards and procedures for reliability impact the marketplace.  Under this premise, fair representation and voting is essential to building true consensus standards.   Consequently, all relevant segments of the wholesale electric industry should be represented. The definition of segments is critical. Each segment should be able to stand alone, with distinct interests in the industry. In our view these should be 1) energy provider, 2) transmission provider, 3) energy marketer, 4) energy consumer, 5) grid operator, 6) systems and services provider. No one segment should be able to dominate and control the outcome in the standards approval process.   In addition, segments should not be defined and populated in such a way as to provide a single interest with repetitive votes nor allow an entity with widespread interests to dominate the votes.  Participant companies should be required to choose only one segment for membership purposes. </w:t>
      </w:r>
    </w:p>
    <w:p>
      <w:pPr>
        <w:pStyle w:val="Normal"/>
        <w:spacing w:before="0" w:after="100"/>
        <w:rPr/>
      </w:pPr>
      <w:r>
        <w:rPr/>
      </w:r>
    </w:p>
    <w:p>
      <w:pPr>
        <w:pStyle w:val="Heading1"/>
        <w:spacing w:before="0" w:after="100"/>
        <w:ind w:hanging="0" w:start="0"/>
        <w:rPr>
          <w:u w:val="single"/>
        </w:rPr>
      </w:pPr>
      <w:r>
        <w:rPr>
          <w:u w:val="single"/>
        </w:rPr>
        <w:t>Authority of the Standards Setting Organization</w:t>
      </w:r>
      <w:r>
        <w:rPr>
          <w:rStyle w:val="FootnoteCharacters"/>
          <w:rStyle w:val="FootnoteReference"/>
          <w:u w:val="single"/>
        </w:rPr>
        <w:footnoteReference w:id="2"/>
      </w:r>
    </w:p>
    <w:p>
      <w:pPr>
        <w:pStyle w:val="Normal"/>
        <w:spacing w:before="0" w:after="100"/>
        <w:rPr/>
      </w:pPr>
      <w:r>
        <w:rPr/>
        <w:t>Enron believes that the SSO should be created by FERC to provide support to FERC, but FERC must have the ultimate control to approve or reject proposed standards and procedures.  FERC deference to the SSO should be at FERC’s discretion and would come by way of employing a fair process and demonstrating that the SSO is able to produce consensus proposals.  FERC, and not the SSO, should provide enforcement authority for the standards.  Since FERC is the authority over commercial aspects of the wholesale electric industry, it is essential that parties have the right of appeal over any proposed reliability standard since it is not always clear whether a reliability standard has an impact over commerce.</w:t>
      </w:r>
      <w:r>
        <w:rPr>
          <w:b/>
        </w:rPr>
        <w:t xml:space="preserve">  </w:t>
      </w:r>
      <w:r>
        <w:rPr/>
        <w:t>Fair representation in the organization will assure regulators that the proposed standards coming out of the organization are consensus agreements and should result in few to no protests to FERC.</w:t>
      </w:r>
    </w:p>
    <w:p>
      <w:pPr>
        <w:pStyle w:val="Footer"/>
        <w:tabs>
          <w:tab w:val="clear" w:pos="4320"/>
          <w:tab w:val="clear" w:pos="8640"/>
        </w:tabs>
        <w:spacing w:before="0" w:after="100"/>
        <w:rPr/>
      </w:pPr>
      <w:r>
        <w:rPr/>
      </w:r>
    </w:p>
    <w:p>
      <w:pPr>
        <w:pStyle w:val="Heading1"/>
        <w:spacing w:before="0" w:after="100"/>
        <w:ind w:hanging="0" w:start="0"/>
        <w:rPr>
          <w:u w:val="single"/>
        </w:rPr>
      </w:pPr>
      <w:r>
        <w:rPr>
          <w:u w:val="single"/>
        </w:rPr>
        <w:t>Membership of the Standards Setting Organization</w:t>
      </w:r>
    </w:p>
    <w:p>
      <w:pPr>
        <w:pStyle w:val="Normal"/>
        <w:spacing w:before="0" w:after="100"/>
        <w:rPr/>
      </w:pPr>
      <w:r>
        <w:rPr/>
        <w:t xml:space="preserve">Membership must be open for any interested party on a voluntary basis.  The definitions of the segments should accommodate any party with a relevant interest to the standards within the Scope and Charter of the organization.  The membership must also reflect the charter of the SSO.  An SSO that seeks to become the “one-stop shop” for all standards and practices applicable to the wholesale electric grid must be comprised of a comparable mix of both transmission operators, who are responsible for the reliability of the grid, and transmission users, who depend on the grid for commerce and their livelihood.  </w:t>
      </w:r>
    </w:p>
    <w:p>
      <w:pPr>
        <w:pStyle w:val="Normal"/>
        <w:spacing w:before="0" w:after="100"/>
        <w:rPr/>
      </w:pPr>
      <w:r>
        <w:rPr/>
      </w:r>
    </w:p>
    <w:p>
      <w:pPr>
        <w:pStyle w:val="Heading1"/>
        <w:spacing w:before="0" w:after="100"/>
        <w:ind w:hanging="0" w:start="0"/>
        <w:rPr>
          <w:u w:val="single"/>
        </w:rPr>
      </w:pPr>
      <w:r>
        <w:rPr>
          <w:u w:val="single"/>
        </w:rPr>
        <w:t>Funding of the Standards Setting Organization</w:t>
      </w:r>
    </w:p>
    <w:p>
      <w:pPr>
        <w:pStyle w:val="Normal"/>
        <w:spacing w:before="0" w:after="100"/>
        <w:rPr/>
      </w:pPr>
      <w:r>
        <w:rPr/>
        <w:t>Funding should be fair and allocated to all users of the grid.  Some minimal level needs to be established for member participation and paid directly by the participants. The funding mechanism itself should neither influence the decisions of the SSO nor drive the composition of committees or the outcome of votes.  Federal legislation may be needed to allocate these costs and the SSO should be ready to support appropriate legislation to provide for a proper funding mechanism.</w:t>
      </w:r>
    </w:p>
    <w:p>
      <w:pPr>
        <w:pStyle w:val="Normal"/>
        <w:spacing w:before="0" w:after="100"/>
        <w:rPr/>
      </w:pPr>
      <w:r>
        <w:rPr/>
      </w:r>
    </w:p>
    <w:p>
      <w:pPr>
        <w:pStyle w:val="Heading1"/>
        <w:spacing w:before="0" w:after="100"/>
        <w:ind w:hanging="0" w:start="0"/>
        <w:rPr>
          <w:u w:val="single"/>
        </w:rPr>
      </w:pPr>
      <w:r>
        <w:rPr>
          <w:u w:val="single"/>
        </w:rPr>
        <w:t>Conclusion</w:t>
      </w:r>
    </w:p>
    <w:p>
      <w:pPr>
        <w:pStyle w:val="Normal"/>
        <w:spacing w:before="0" w:after="100"/>
        <w:rPr/>
      </w:pPr>
      <w:r>
        <w:rPr/>
        <w:t>These are some of the key requirements that must be addressed before Enron will support any standards setting organization.  Enron realizes that these are difficult issues and may not be resolved in a short time frame.  However, Enron believes that development of an SSO must occur as quickly as possible to provide Regional Transmission Organizations and the marketplace with certainty in the standards setting process.   We encourage all industry participants to continue working to develop strategies for addressing these needs.</w:t>
      </w:r>
    </w:p>
    <w:p>
      <w:pPr>
        <w:pStyle w:val="Header"/>
        <w:tabs>
          <w:tab w:val="clear" w:pos="4320"/>
          <w:tab w:val="clear" w:pos="8640"/>
        </w:tabs>
        <w:rPr/>
      </w:pPr>
      <w:r>
        <w:rPr/>
      </w:r>
    </w:p>
    <w:p>
      <w:pPr>
        <w:pStyle w:val="Normal"/>
        <w:tabs>
          <w:tab w:val="clear" w:pos="720"/>
          <w:tab w:val="left" w:pos="0" w:leader="none"/>
          <w:tab w:val="center" w:pos="4680" w:leader="none"/>
          <w:tab w:val="right" w:pos="9360" w:leader="none"/>
        </w:tabs>
        <w:rPr/>
      </w:pPr>
      <w:r>
        <w:rPr/>
      </w:r>
    </w:p>
    <w:p>
      <w:pPr>
        <w:pStyle w:val="Normal"/>
        <w:tabs>
          <w:tab w:val="clear" w:pos="720"/>
          <w:tab w:val="left" w:pos="0" w:leader="none"/>
          <w:tab w:val="center" w:pos="4680" w:leader="none"/>
          <w:tab w:val="right" w:pos="9360" w:leader="none"/>
        </w:tabs>
        <w:rPr/>
      </w:pPr>
      <w:r>
        <w:rPr/>
      </w:r>
    </w:p>
    <w:p>
      <w:pPr>
        <w:pStyle w:val="Normal"/>
        <w:tabs>
          <w:tab w:val="clear" w:pos="720"/>
          <w:tab w:val="left" w:pos="0" w:leader="none"/>
          <w:tab w:val="center" w:pos="4680" w:leader="none"/>
          <w:tab w:val="right" w:pos="9360" w:leader="none"/>
        </w:tabs>
        <w:rPr>
          <w:rFonts w:ascii="Verdana" w:hAnsi="Verdana" w:cs="Verdana"/>
        </w:rPr>
      </w:pPr>
      <w:r>
        <w:rPr>
          <w:rFonts w:cs="Verdana" w:ascii="Verdana" w:hAnsi="Verdana"/>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inline distT="0" distB="0" distL="0" distR="0">
          <wp:extent cx="4590415" cy="31432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8" t="-115" r="-8" b="-115"/>
                  <a:stretch>
                    <a:fillRect/>
                  </a:stretch>
                </pic:blipFill>
                <pic:spPr bwMode="auto">
                  <a:xfrm>
                    <a:off x="0" y="0"/>
                    <a:ext cx="4590415" cy="314325"/>
                  </a:xfrm>
                  <a:prstGeom prst="rect">
                    <a:avLst/>
                  </a:prstGeom>
                  <a:noFill/>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inline distT="0" distB="0" distL="0" distR="0">
          <wp:extent cx="4590415" cy="314325"/>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1"/>
                  <a:srcRect l="-8" t="-115" r="-8" b="-115"/>
                  <a:stretch>
                    <a:fillRect/>
                  </a:stretch>
                </pic:blipFill>
                <pic:spPr bwMode="auto">
                  <a:xfrm>
                    <a:off x="0" y="0"/>
                    <a:ext cx="4590415" cy="314325"/>
                  </a:xfrm>
                  <a:prstGeom prst="rect">
                    <a:avLst/>
                  </a:prstGeom>
                  <a:no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lang w:val="en-US"/>
        </w:rPr>
        <w:t xml:space="preserve"> </w:t>
      </w:r>
      <w:r>
        <w:rPr>
          <w:lang w:val="en-US"/>
        </w:rPr>
        <w:t>FERC for the USA wholesale market standard approval. Equivalent organization for the Canadian and Mexican markets.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Pr>
    </w:pPr>
    <w:r>
      <w:rPr>
        <w:b/>
        <w:sz w:val="24"/>
      </w:rPr>
      <w:t>Enron’s Interest in an Electric Standards Setting Organization</w:t>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tabs>
        <w:tab w:val="clear" w:pos="8640"/>
        <w:tab w:val="center" w:pos="4320" w:leader="none"/>
        <w:tab w:val="right" w:pos="9270" w:leader="none"/>
      </w:tabs>
      <w:rPr/>
    </w:pPr>
    <w:r>
      <w:rPr>
        <w:rStyle w:val="PageNumber"/>
      </w:rPr>
      <w:tab/>
      <w:tab/>
      <w:t>November 8,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Verdana" w:hAnsi="Verdana" w:cs="Verdana"/>
      <w:b/>
    </w:rPr>
  </w:style>
  <w:style w:type="paragraph" w:styleId="Heading3">
    <w:name w:val="heading 3"/>
    <w:basedOn w:val="Normal"/>
    <w:next w:val="Normal"/>
    <w:qFormat/>
    <w:pPr>
      <w:keepNext w:val="true"/>
      <w:widowControl/>
      <w:numPr>
        <w:ilvl w:val="2"/>
        <w:numId w:val="1"/>
      </w:numPr>
      <w:outlineLvl w:val="2"/>
    </w:pPr>
    <w:rPr>
      <w:b/>
      <w:sz w:val="22"/>
      <w:lang w:val="pt-BR"/>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jc w:val="center"/>
    </w:pPr>
    <w:rPr>
      <w:b/>
      <w:caps/>
      <w:sz w:val="22"/>
      <w:lang w:val="pt-BR"/>
    </w:rPr>
  </w:style>
  <w:style w:type="paragraph" w:styleId="BodyText">
    <w:name w:val="Body Text"/>
    <w:basedOn w:val="Normal"/>
    <w:pPr>
      <w:widowControl/>
    </w:pPr>
    <w:rPr>
      <w:sz w:val="22"/>
      <w:lang w:val="pt-B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rpodetexto3">
    <w:name w:val="Corpo de texto 3"/>
    <w:basedOn w:val="Normal"/>
    <w:qFormat/>
    <w:pPr>
      <w:tabs>
        <w:tab w:val="clear" w:pos="720"/>
        <w:tab w:val="left" w:pos="0" w:leader="none"/>
        <w:tab w:val="left" w:pos="742" w:leader="none"/>
        <w:tab w:val="left" w:pos="1552"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pPr>
    <w:rPr>
      <w:sz w:val="24"/>
      <w:lang w:val="pt-BR"/>
    </w:rPr>
  </w:style>
  <w:style w:type="paragraph" w:styleId="BodyText2">
    <w:name w:val="Body Text 2"/>
    <w:basedOn w:val="Normal"/>
    <w:qFormat/>
    <w:pPr>
      <w:tabs>
        <w:tab w:val="clear" w:pos="720"/>
        <w:tab w:val="left" w:pos="0"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ind w:hanging="0" w:start="1440" w:end="0"/>
      <w:jc w:val="both"/>
    </w:pPr>
    <w:rPr>
      <w:sz w:val="24"/>
      <w:lang w:val="pt-BR"/>
    </w:rPr>
  </w:style>
  <w:style w:type="paragraph" w:styleId="FootnoteText">
    <w:name w:val="footnote text"/>
    <w:basedOn w:val="Normal"/>
    <w:pPr/>
    <w:rPr>
      <w:rFonts w:ascii="Arial" w:hAnsi="Arial" w:cs="Arial"/>
      <w:lang w:val="pt-BR"/>
    </w:rPr>
  </w:style>
  <w:style w:type="paragraph" w:styleId="CommentText">
    <w:name w:val="Comment Text"/>
    <w:basedOn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wmf"/>
</Relationships>
</file>

<file path=word/_rels/footer2.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ALH J Bestard.dot</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2001-11-07T18:27:00Z</dcterms:created>
  <dc:creator>Jose Bestard</dc:creator>
  <dc:description/>
  <dc:language>en-CA</dc:language>
  <cp:lastModifiedBy>jbestar</cp:lastModifiedBy>
  <cp:lastPrinted>2001-11-09T11:37:00Z</cp:lastPrinted>
  <dcterms:modified xsi:type="dcterms:W3CDTF">2001-11-10T17:35:00Z</dcterms:modified>
  <cp:revision>63</cp:revision>
  <dc:subject/>
  <dc:title> </dc:title>
</cp:coreProperties>
</file>