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right" w:pos="9360" w:leader="none"/>
        </w:tabs>
        <w:suppressAutoHyphens w:val="true"/>
        <w:jc w:val="both"/>
        <w:rPr>
          <w:b/>
          <w:bCs/>
          <w:spacing w:val="-3"/>
          <w:sz w:val="28"/>
          <w:szCs w:val="28"/>
        </w:rPr>
      </w:pPr>
      <w:r>
        <w:rPr>
          <w:b/>
          <w:bCs/>
          <w:spacing w:val="-3"/>
          <w:sz w:val="28"/>
          <w:szCs w:val="28"/>
        </w:rPr>
        <w:tab/>
        <w:t>MICHAEL A. S. GUTH</w:t>
      </w:r>
      <w:r>
        <w:rPr>
          <w:spacing w:val="-3"/>
          <w:sz w:val="22"/>
          <w:szCs w:val="22"/>
        </w:rPr>
        <w:tab/>
      </w:r>
      <w:r>
        <w:rPr>
          <w:spacing w:val="-3"/>
        </w:rPr>
        <w:t>May 12, 2001</w:t>
      </w:r>
      <w:r>
        <w:rPr>
          <w:b/>
          <w:bCs/>
          <w:spacing w:val="-3"/>
          <w:sz w:val="28"/>
          <w:szCs w:val="28"/>
        </w:rPr>
        <w:t xml:space="preserve">  </w:t>
        <w:tab/>
      </w:r>
    </w:p>
    <w:p>
      <w:pPr>
        <w:pStyle w:val="Normal"/>
        <w:tabs>
          <w:tab w:val="clear" w:pos="720"/>
          <w:tab w:val="left" w:pos="-720" w:leader="none"/>
        </w:tabs>
        <w:suppressAutoHyphens w:val="true"/>
        <w:jc w:val="center"/>
        <w:rPr>
          <w:spacing w:val="-3"/>
          <w:sz w:val="24"/>
          <w:szCs w:val="24"/>
        </w:rPr>
      </w:pPr>
      <w:r>
        <w:rPr>
          <w:spacing w:val="-3"/>
          <w:sz w:val="24"/>
          <w:szCs w:val="24"/>
        </w:rPr>
        <w:t>116 Oklahoma Ave.</w:t>
      </w:r>
    </w:p>
    <w:p>
      <w:pPr>
        <w:pStyle w:val="Normal"/>
        <w:tabs>
          <w:tab w:val="clear" w:pos="720"/>
          <w:tab w:val="left" w:pos="-720" w:leader="none"/>
        </w:tabs>
        <w:suppressAutoHyphens w:val="true"/>
        <w:jc w:val="center"/>
        <w:rPr>
          <w:spacing w:val="-3"/>
          <w:sz w:val="24"/>
          <w:szCs w:val="24"/>
        </w:rPr>
      </w:pPr>
      <w:r>
        <w:rPr>
          <w:spacing w:val="-3"/>
          <w:sz w:val="24"/>
          <w:szCs w:val="24"/>
        </w:rPr>
        <w:t>Oak Ridge, TN   37830-8604</w:t>
      </w:r>
    </w:p>
    <w:p>
      <w:pPr>
        <w:pStyle w:val="Normal"/>
        <w:tabs>
          <w:tab w:val="clear" w:pos="720"/>
          <w:tab w:val="left" w:pos="-720" w:leader="none"/>
        </w:tabs>
        <w:suppressAutoHyphens w:val="true"/>
        <w:jc w:val="center"/>
        <w:rPr>
          <w:spacing w:val="-3"/>
          <w:sz w:val="24"/>
          <w:szCs w:val="24"/>
        </w:rPr>
      </w:pPr>
      <w:r>
        <w:rPr>
          <w:spacing w:val="-3"/>
          <w:sz w:val="24"/>
          <w:szCs w:val="24"/>
        </w:rPr>
        <w:t>Phone: (865) 483-8309; Fax: (425) 969-2580</w:t>
      </w:r>
    </w:p>
    <w:p>
      <w:pPr>
        <w:pStyle w:val="Normal"/>
        <w:tabs>
          <w:tab w:val="clear" w:pos="720"/>
          <w:tab w:val="left" w:pos="-720" w:leader="none"/>
        </w:tabs>
        <w:suppressAutoHyphens w:val="true"/>
        <w:jc w:val="center"/>
        <w:rPr>
          <w:b/>
          <w:bCs/>
          <w:spacing w:val="-3"/>
          <w:sz w:val="24"/>
          <w:szCs w:val="24"/>
        </w:rPr>
      </w:pPr>
      <w:r>
        <w:rPr>
          <w:b/>
          <w:bCs/>
          <w:spacing w:val="-3"/>
          <w:sz w:val="24"/>
          <w:szCs w:val="24"/>
        </w:rPr>
        <w:t>e-mail: masg@juno.com</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both"/>
        <w:rPr>
          <w:spacing w:val="-3"/>
          <w:sz w:val="28"/>
          <w:szCs w:val="28"/>
        </w:rPr>
      </w:pPr>
      <w:r>
        <w:rPr>
          <w:b/>
          <w:bCs/>
          <w:spacing w:val="-3"/>
          <w:sz w:val="28"/>
          <w:szCs w:val="28"/>
        </w:rPr>
        <w:t>EDUCATION</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J.D., Summa Cum Laude, College of Law, Dec. 1997, University of Tennessee, Knoxville.</w:t>
      </w:r>
    </w:p>
    <w:p>
      <w:pPr>
        <w:pStyle w:val="Normal"/>
        <w:tabs>
          <w:tab w:val="clear" w:pos="720"/>
          <w:tab w:val="left" w:pos="-720" w:leader="none"/>
        </w:tabs>
        <w:suppressAutoHyphens w:val="true"/>
        <w:ind w:start="720" w:end="0"/>
        <w:jc w:val="both"/>
        <w:rPr>
          <w:spacing w:val="-3"/>
          <w:sz w:val="24"/>
          <w:szCs w:val="24"/>
        </w:rPr>
      </w:pPr>
      <w:r>
        <w:rPr>
          <w:i/>
          <w:iCs/>
          <w:spacing w:val="-3"/>
          <w:sz w:val="24"/>
          <w:szCs w:val="24"/>
        </w:rPr>
        <w:t>Order of the Coif;  rank 2</w:t>
      </w:r>
      <w:r>
        <w:rPr>
          <w:i/>
          <w:iCs/>
          <w:spacing w:val="-3"/>
          <w:sz w:val="24"/>
          <w:szCs w:val="24"/>
          <w:vertAlign w:val="superscript"/>
        </w:rPr>
        <w:t>nd</w:t>
      </w:r>
      <w:r>
        <w:rPr>
          <w:i/>
          <w:iCs/>
          <w:spacing w:val="-3"/>
          <w:sz w:val="24"/>
          <w:szCs w:val="24"/>
        </w:rPr>
        <w:t xml:space="preserve"> out of class of 139; Hunton and Williams prize for the best brief written by a first-year law student at UT in 1995; specialized courses on securities and class action litigation, and drafting contracts for asset-backed securities transactions.  Licensed to practice law (Tennessee), May 1, 1998; </w:t>
      </w:r>
      <w:r>
        <w:rPr>
          <w:i/>
          <w:iCs/>
          <w:spacing w:val="-2"/>
          <w:sz w:val="24"/>
          <w:szCs w:val="24"/>
        </w:rPr>
        <w:t>Eastern District of Tennessee, Oct. 13, 1999</w:t>
      </w:r>
      <w:r>
        <w:rPr>
          <w:i/>
          <w:iCs/>
          <w:spacing w:val="-3"/>
          <w:sz w:val="24"/>
          <w:szCs w:val="24"/>
        </w:rPr>
        <w:t>.  Practice interests: business transactions, mergers and acquisitions, strategic planning.</w:t>
      </w:r>
    </w:p>
    <w:p>
      <w:pPr>
        <w:pStyle w:val="Normal"/>
        <w:tabs>
          <w:tab w:val="clear" w:pos="720"/>
          <w:tab w:val="left" w:pos="-720" w:leader="none"/>
        </w:tabs>
        <w:suppressAutoHyphens w:val="true"/>
        <w:jc w:val="both"/>
        <w:rPr>
          <w:spacing w:val="-3"/>
          <w:sz w:val="24"/>
          <w:szCs w:val="24"/>
        </w:rPr>
      </w:pPr>
      <w:r>
        <w:rPr>
          <w:spacing w:val="-3"/>
          <w:sz w:val="24"/>
          <w:szCs w:val="24"/>
        </w:rPr>
        <w:t>Ph.D., Financial Economics, March 1988, University of Tennessee, Knoxville.</w:t>
      </w:r>
    </w:p>
    <w:p>
      <w:pPr>
        <w:pStyle w:val="Normal"/>
        <w:tabs>
          <w:tab w:val="clear" w:pos="720"/>
          <w:tab w:val="left" w:pos="-720" w:leader="none"/>
        </w:tabs>
        <w:suppressAutoHyphens w:val="true"/>
        <w:jc w:val="both"/>
        <w:rPr>
          <w:spacing w:val="-3"/>
          <w:sz w:val="24"/>
          <w:szCs w:val="24"/>
        </w:rPr>
      </w:pPr>
      <w:r>
        <w:rPr>
          <w:spacing w:val="-3"/>
          <w:sz w:val="24"/>
          <w:szCs w:val="24"/>
        </w:rPr>
        <w:t>M.S., Mathematical Economics, June 1986, California Institute of Technology, Pasadena.</w:t>
      </w:r>
    </w:p>
    <w:p>
      <w:pPr>
        <w:pStyle w:val="Normal"/>
        <w:tabs>
          <w:tab w:val="clear" w:pos="720"/>
          <w:tab w:val="left" w:pos="-720" w:leader="none"/>
        </w:tabs>
        <w:suppressAutoHyphens w:val="true"/>
        <w:jc w:val="both"/>
        <w:rPr>
          <w:spacing w:val="-3"/>
          <w:sz w:val="24"/>
          <w:szCs w:val="24"/>
        </w:rPr>
      </w:pPr>
      <w:r>
        <w:rPr>
          <w:spacing w:val="-3"/>
          <w:sz w:val="24"/>
          <w:szCs w:val="24"/>
        </w:rPr>
        <w:t>B.A., Economics/Space Physics - minor, May 1982, Rice University, Houston, Texas.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8"/>
          <w:szCs w:val="28"/>
        </w:rPr>
      </w:pPr>
      <w:r>
        <w:rPr>
          <w:b/>
          <w:bCs/>
          <w:spacing w:val="-3"/>
          <w:sz w:val="28"/>
          <w:szCs w:val="28"/>
        </w:rPr>
        <w:t>PROFESSIONAL EXPERIENCE</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u w:val="single"/>
        </w:rPr>
        <w:t>Risk Management Consulting, Oak Ridge, TN</w:t>
      </w:r>
      <w:r>
        <w:rPr>
          <w:spacing w:val="-3"/>
          <w:sz w:val="24"/>
          <w:szCs w:val="24"/>
        </w:rPr>
        <w:t>, (1997 – present)</w:t>
      </w:r>
    </w:p>
    <w:p>
      <w:pPr>
        <w:pStyle w:val="Normal"/>
        <w:tabs>
          <w:tab w:val="clear" w:pos="720"/>
          <w:tab w:val="left" w:pos="-720" w:leader="none"/>
        </w:tabs>
        <w:suppressAutoHyphens w:val="true"/>
        <w:jc w:val="both"/>
        <w:rPr>
          <w:spacing w:val="-3"/>
          <w:sz w:val="24"/>
          <w:szCs w:val="24"/>
        </w:rPr>
      </w:pPr>
      <w:r>
        <w:rPr>
          <w:spacing w:val="-3"/>
          <w:sz w:val="24"/>
          <w:szCs w:val="24"/>
        </w:rPr>
        <w:t>Managing Director and Attorney at Law</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i/>
          <w:i/>
          <w:iCs/>
          <w:spacing w:val="-3"/>
          <w:sz w:val="24"/>
          <w:szCs w:val="24"/>
        </w:rPr>
      </w:pPr>
      <w:r>
        <w:rPr>
          <w:i/>
          <w:iCs/>
          <w:spacing w:val="-3"/>
          <w:sz w:val="24"/>
          <w:szCs w:val="24"/>
        </w:rPr>
        <w:t>Representative Clients:  Tennessee Valley Authority, PG&amp;E Energy Trading, Oklahoma Gas and Electric, General Electric Power Systems, Petroleum Institute of Research Associates.</w:t>
      </w:r>
    </w:p>
    <w:p>
      <w:pPr>
        <w:pStyle w:val="Normal"/>
        <w:tabs>
          <w:tab w:val="clear" w:pos="720"/>
          <w:tab w:val="left" w:pos="-720" w:leader="none"/>
        </w:tabs>
        <w:suppressAutoHyphens w:val="true"/>
        <w:jc w:val="both"/>
        <w:rPr>
          <w:i/>
          <w:i/>
          <w:iCs/>
          <w:spacing w:val="-3"/>
          <w:sz w:val="24"/>
          <w:szCs w:val="24"/>
        </w:rPr>
      </w:pPr>
      <w:r>
        <w:rPr>
          <w:i/>
          <w:iCs/>
          <w:spacing w:val="-3"/>
          <w:sz w:val="24"/>
          <w:szCs w:val="24"/>
        </w:rPr>
      </w:r>
    </w:p>
    <w:p>
      <w:pPr>
        <w:pStyle w:val="Normal"/>
        <w:tabs>
          <w:tab w:val="clear" w:pos="720"/>
          <w:tab w:val="left" w:pos="-720" w:leader="none"/>
        </w:tabs>
        <w:suppressAutoHyphens w:val="true"/>
        <w:jc w:val="both"/>
        <w:rPr/>
      </w:pPr>
      <w:r>
        <w:rPr>
          <w:i/>
          <w:iCs/>
          <w:spacing w:val="-3"/>
          <w:sz w:val="24"/>
          <w:szCs w:val="24"/>
        </w:rPr>
        <w:t>European Power Markets</w:t>
      </w:r>
      <w:r>
        <w:rPr>
          <w:spacing w:val="-3"/>
          <w:sz w:val="24"/>
          <w:szCs w:val="24"/>
        </w:rPr>
        <w:t>.  For a top ten U.S. power marketing firm, currently preparing a detailed and proprietary assessment of the power trading opportunities in Germany, Switzerland, Italy, the Netherlands, and Spain.</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Heading3"/>
        <w:ind w:hanging="0" w:start="0"/>
        <w:rPr/>
      </w:pPr>
      <w:r>
        <w:rPr>
          <w:rFonts w:cs="Times New Roman" w:ascii="Times New Roman" w:hAnsi="Times New Roman"/>
          <w:spacing w:val="-2"/>
          <w:sz w:val="24"/>
          <w:szCs w:val="24"/>
        </w:rPr>
        <w:t>Bandwidth Practice Developer</w:t>
      </w:r>
      <w:r>
        <w:rPr>
          <w:rFonts w:cs="Times New Roman" w:ascii="Times New Roman" w:hAnsi="Times New Roman"/>
          <w:i w:val="false"/>
          <w:iCs w:val="false"/>
          <w:spacing w:val="-2"/>
          <w:sz w:val="24"/>
          <w:szCs w:val="24"/>
        </w:rPr>
        <w:t xml:space="preserve">.  </w:t>
      </w:r>
    </w:p>
    <w:p>
      <w:pPr>
        <w:pStyle w:val="Heading3"/>
        <w:numPr>
          <w:ilvl w:val="0"/>
          <w:numId w:val="3"/>
        </w:numPr>
        <w:rPr>
          <w:rFonts w:ascii="Times New Roman" w:hAnsi="Times New Roman" w:cs="Times New Roman"/>
          <w:i w:val="false"/>
          <w:i w:val="false"/>
          <w:iCs w:val="false"/>
          <w:spacing w:val="-2"/>
          <w:sz w:val="24"/>
          <w:szCs w:val="24"/>
        </w:rPr>
      </w:pPr>
      <w:r>
        <w:rPr>
          <w:rFonts w:cs="Times New Roman" w:ascii="Times New Roman" w:hAnsi="Times New Roman"/>
          <w:i w:val="false"/>
          <w:iCs w:val="false"/>
          <w:spacing w:val="-2"/>
          <w:sz w:val="24"/>
          <w:szCs w:val="24"/>
        </w:rPr>
        <w:t>Spent over 600 hours studying all aspects of the demand, supply, and pricing of broadband capacity (bandwidth) and high-speed broadband services.</w:t>
      </w:r>
    </w:p>
    <w:p>
      <w:pPr>
        <w:pStyle w:val="Heading3"/>
        <w:numPr>
          <w:ilvl w:val="0"/>
          <w:numId w:val="3"/>
        </w:numPr>
        <w:rPr>
          <w:rFonts w:ascii="Times New Roman" w:hAnsi="Times New Roman" w:cs="Times New Roman"/>
          <w:i w:val="false"/>
          <w:i w:val="false"/>
          <w:iCs w:val="false"/>
          <w:spacing w:val="-2"/>
          <w:sz w:val="24"/>
          <w:szCs w:val="24"/>
        </w:rPr>
      </w:pPr>
      <w:r>
        <w:rPr>
          <w:rFonts w:cs="Times New Roman" w:ascii="Times New Roman" w:hAnsi="Times New Roman"/>
          <w:i w:val="false"/>
          <w:iCs w:val="false"/>
          <w:spacing w:val="-2"/>
          <w:sz w:val="24"/>
          <w:szCs w:val="24"/>
        </w:rPr>
        <w:t xml:space="preserve">Invited to speak on mergers and acquisitions between energy and telecom firms at the </w:t>
      </w:r>
      <w:r>
        <w:rPr>
          <w:rFonts w:cs="Times New Roman" w:ascii="Times New Roman" w:hAnsi="Times New Roman"/>
          <w:spacing w:val="-2"/>
          <w:sz w:val="24"/>
          <w:szCs w:val="24"/>
        </w:rPr>
        <w:t>Predators and Prey in the Power Industry,</w:t>
      </w:r>
      <w:r>
        <w:rPr>
          <w:rFonts w:cs="Times New Roman" w:ascii="Times New Roman" w:hAnsi="Times New Roman"/>
          <w:i w:val="false"/>
          <w:iCs w:val="false"/>
          <w:spacing w:val="-2"/>
          <w:sz w:val="24"/>
          <w:szCs w:val="24"/>
        </w:rPr>
        <w:t xml:space="preserve"> London, January 2001. </w:t>
      </w:r>
    </w:p>
    <w:p>
      <w:pPr>
        <w:pStyle w:val="Heading3"/>
        <w:numPr>
          <w:ilvl w:val="0"/>
          <w:numId w:val="3"/>
        </w:numPr>
        <w:rPr>
          <w:rFonts w:ascii="Times New Roman" w:hAnsi="Times New Roman" w:cs="Times New Roman"/>
          <w:i w:val="false"/>
          <w:i w:val="false"/>
          <w:iCs w:val="false"/>
          <w:spacing w:val="-2"/>
          <w:sz w:val="24"/>
          <w:szCs w:val="24"/>
        </w:rPr>
      </w:pPr>
      <w:r>
        <w:rPr>
          <w:rFonts w:cs="Times New Roman" w:ascii="Times New Roman" w:hAnsi="Times New Roman"/>
          <w:i w:val="false"/>
          <w:iCs w:val="false"/>
          <w:spacing w:val="-2"/>
          <w:sz w:val="24"/>
          <w:szCs w:val="24"/>
        </w:rPr>
        <w:t xml:space="preserve">Served as principal author of three reports entitled </w:t>
      </w:r>
    </w:p>
    <w:p>
      <w:pPr>
        <w:pStyle w:val="Heading3"/>
        <w:ind w:hanging="0" w:start="0"/>
        <w:rPr>
          <w:rFonts w:ascii="Times New Roman" w:hAnsi="Times New Roman" w:cs="Times New Roman"/>
          <w:i w:val="false"/>
          <w:i w:val="false"/>
          <w:iCs w:val="false"/>
          <w:spacing w:val="-2"/>
          <w:sz w:val="24"/>
          <w:szCs w:val="24"/>
        </w:rPr>
      </w:pPr>
      <w:r>
        <w:rPr>
          <w:rFonts w:cs="Times New Roman" w:ascii="Times New Roman" w:hAnsi="Times New Roman"/>
          <w:i w:val="false"/>
          <w:iCs w:val="false"/>
          <w:spacing w:val="-2"/>
          <w:sz w:val="24"/>
          <w:szCs w:val="24"/>
        </w:rPr>
      </w:r>
    </w:p>
    <w:p>
      <w:pPr>
        <w:pStyle w:val="Heading3"/>
        <w:ind w:hanging="0" w:start="720" w:end="0"/>
        <w:rPr/>
      </w:pPr>
      <w:r>
        <w:rPr>
          <w:rFonts w:cs="Times New Roman" w:ascii="Times New Roman" w:hAnsi="Times New Roman"/>
          <w:i w:val="false"/>
          <w:iCs w:val="false"/>
          <w:spacing w:val="-2"/>
          <w:sz w:val="24"/>
          <w:szCs w:val="24"/>
        </w:rPr>
        <w:t xml:space="preserve">(1) </w:t>
      </w:r>
      <w:r>
        <w:rPr>
          <w:rFonts w:cs="Times New Roman" w:ascii="Times New Roman" w:hAnsi="Times New Roman"/>
          <w:spacing w:val="-2"/>
          <w:sz w:val="24"/>
          <w:szCs w:val="24"/>
        </w:rPr>
        <w:t>Broadband or Deadband: An Appraisal of the Fledgling Bandwidth Commodity Markets</w:t>
      </w:r>
      <w:r>
        <w:rPr>
          <w:rFonts w:cs="Times New Roman" w:ascii="Times New Roman" w:hAnsi="Times New Roman"/>
          <w:i w:val="false"/>
          <w:iCs w:val="false"/>
          <w:spacing w:val="-2"/>
          <w:sz w:val="24"/>
          <w:szCs w:val="24"/>
        </w:rPr>
        <w:t xml:space="preserve"> [report discusses similarities and differences between electricity and bandwidth, the emergence and timing of liquid markets, provisioning cross-technology network transmissions, how commoditization will affect the telecom “service” industry, and opportunities for energy firms];</w:t>
      </w:r>
    </w:p>
    <w:p>
      <w:pPr>
        <w:pStyle w:val="Heading3"/>
        <w:ind w:hanging="0" w:start="0"/>
        <w:rPr>
          <w:rFonts w:ascii="Times New Roman" w:hAnsi="Times New Roman" w:cs="Times New Roman"/>
          <w:i w:val="false"/>
          <w:i w:val="false"/>
          <w:iCs w:val="false"/>
          <w:spacing w:val="-2"/>
          <w:sz w:val="24"/>
          <w:szCs w:val="24"/>
        </w:rPr>
      </w:pPr>
      <w:r>
        <w:rPr>
          <w:rFonts w:cs="Times New Roman" w:ascii="Times New Roman" w:hAnsi="Times New Roman"/>
          <w:i w:val="false"/>
          <w:iCs w:val="false"/>
          <w:spacing w:val="-2"/>
          <w:sz w:val="24"/>
          <w:szCs w:val="24"/>
        </w:rPr>
      </w:r>
    </w:p>
    <w:p>
      <w:pPr>
        <w:pStyle w:val="Heading3"/>
        <w:ind w:hanging="0" w:start="720" w:end="0"/>
        <w:rPr/>
      </w:pPr>
      <w:r>
        <w:rPr>
          <w:rFonts w:cs="Times New Roman" w:ascii="Times New Roman" w:hAnsi="Times New Roman"/>
          <w:i w:val="false"/>
          <w:iCs w:val="false"/>
          <w:spacing w:val="-2"/>
          <w:sz w:val="24"/>
          <w:szCs w:val="24"/>
        </w:rPr>
        <w:t xml:space="preserve">(2) </w:t>
      </w:r>
      <w:r>
        <w:rPr>
          <w:rFonts w:cs="Times New Roman" w:ascii="Times New Roman" w:hAnsi="Times New Roman"/>
          <w:spacing w:val="-2"/>
          <w:sz w:val="24"/>
          <w:szCs w:val="24"/>
        </w:rPr>
        <w:t>The Dash for Cash: Lucrative Opportunities to Provide High Speed Internet Access</w:t>
      </w:r>
      <w:r>
        <w:rPr>
          <w:rFonts w:cs="Times New Roman" w:ascii="Times New Roman" w:hAnsi="Times New Roman"/>
          <w:i w:val="false"/>
          <w:iCs w:val="false"/>
          <w:spacing w:val="-2"/>
          <w:sz w:val="24"/>
          <w:szCs w:val="24"/>
        </w:rPr>
        <w:t xml:space="preserve"> [report compares advantages, disadvantages, and current costs of digital subscriber lines, cable modem, mobile wireless, fixed wireless, fiber optic lines, and satellite broadband access; strategic considerations for energy firms in the telecom sector];</w:t>
      </w:r>
    </w:p>
    <w:p>
      <w:pPr>
        <w:pStyle w:val="Normal"/>
        <w:rPr>
          <w:rFonts w:ascii="Times New Roman" w:hAnsi="Times New Roman" w:cs="Times New Roman"/>
          <w:i/>
          <w:i/>
          <w:iCs/>
          <w:spacing w:val="-2"/>
          <w:sz w:val="24"/>
          <w:szCs w:val="24"/>
        </w:rPr>
      </w:pPr>
      <w:r>
        <w:rPr>
          <w:rFonts w:cs="Times New Roman"/>
          <w:i/>
          <w:iCs/>
          <w:spacing w:val="-2"/>
          <w:sz w:val="24"/>
          <w:szCs w:val="24"/>
        </w:rPr>
      </w:r>
    </w:p>
    <w:p>
      <w:pPr>
        <w:pStyle w:val="Normal"/>
        <w:ind w:start="720" w:end="0"/>
        <w:rPr/>
      </w:pPr>
      <w:r>
        <w:rPr>
          <w:sz w:val="24"/>
          <w:szCs w:val="24"/>
        </w:rPr>
        <w:t xml:space="preserve">(3) </w:t>
      </w:r>
      <w:r>
        <w:rPr>
          <w:i/>
          <w:iCs/>
          <w:sz w:val="24"/>
          <w:szCs w:val="24"/>
        </w:rPr>
        <w:t>Electricity Consumption in the Digital Age:  How the Internet is Changing the Usual Relationship Between Economic Growth and Electricity Demand</w:t>
      </w:r>
      <w:r>
        <w:rPr>
          <w:sz w:val="24"/>
          <w:szCs w:val="24"/>
        </w:rPr>
        <w:t xml:space="preserve"> [report discusses the background on the debate, previous modeling assumptions and analysis, electricity consumption by personal computers, incredible expansion of network interconnection facilities, carrier hotel locations, anecdotes of carrier hotel power requirements, Web hosting, timeline required for broadband to revolutionize everyday power consumption].</w:t>
      </w:r>
    </w:p>
    <w:p>
      <w:pPr>
        <w:pStyle w:val="Normal"/>
        <w:rPr>
          <w:sz w:val="24"/>
          <w:szCs w:val="24"/>
        </w:rPr>
      </w:pPr>
      <w:r>
        <w:rPr>
          <w:sz w:val="24"/>
          <w:szCs w:val="24"/>
        </w:rPr>
      </w:r>
    </w:p>
    <w:p>
      <w:pPr>
        <w:pStyle w:val="Heading3"/>
        <w:ind w:hanging="0" w:start="0"/>
        <w:rPr/>
      </w:pPr>
      <w:r>
        <w:rPr>
          <w:rFonts w:cs="Times New Roman" w:ascii="Times New Roman" w:hAnsi="Times New Roman"/>
          <w:sz w:val="24"/>
          <w:szCs w:val="24"/>
        </w:rPr>
        <w:t>Senior Portfolio Risk Manager and In-House Counsel</w:t>
      </w:r>
      <w:r>
        <w:rPr>
          <w:rFonts w:cs="Times New Roman" w:ascii="Times New Roman" w:hAnsi="Times New Roman"/>
          <w:i w:val="false"/>
          <w:iCs w:val="false"/>
          <w:sz w:val="24"/>
          <w:szCs w:val="24"/>
        </w:rPr>
        <w:t xml:space="preserve">.  </w:t>
      </w:r>
    </w:p>
    <w:p>
      <w:pPr>
        <w:pStyle w:val="Heading3"/>
        <w:numPr>
          <w:ilvl w:val="0"/>
          <w:numId w:val="8"/>
        </w:numP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Analyzed the financial risks associated with General Electric’s portfolio of long-term service agreements for maintenance and repairs of gas turbine and combined-cycle generating plants.</w:t>
      </w:r>
    </w:p>
    <w:p>
      <w:pPr>
        <w:pStyle w:val="Heading3"/>
        <w:numPr>
          <w:ilvl w:val="0"/>
          <w:numId w:val="8"/>
        </w:numP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Developed expertise on the statistical foundations of GE’s availability guarantees (92% - 98%) included in these maintenance contracts.</w:t>
      </w:r>
      <w:r>
        <w:rPr>
          <w:spacing w:val="-2"/>
        </w:rPr>
        <w:t xml:space="preserve">  </w:t>
      </w:r>
    </w:p>
    <w:p>
      <w:pPr>
        <w:pStyle w:val="Normal"/>
        <w:tabs>
          <w:tab w:val="clear" w:pos="720"/>
          <w:tab w:val="left" w:pos="-720" w:leader="none"/>
        </w:tabs>
        <w:suppressAutoHyphens w:val="true"/>
        <w:jc w:val="both"/>
        <w:rPr>
          <w:rFonts w:ascii="Times New Roman" w:hAnsi="Times New Roman" w:cs="Times New Roman"/>
          <w:i/>
          <w:i/>
          <w:iCs/>
          <w:spacing w:val="-3"/>
          <w:sz w:val="24"/>
          <w:szCs w:val="24"/>
        </w:rPr>
      </w:pPr>
      <w:r>
        <w:rPr>
          <w:rFonts w:cs="Times New Roman"/>
          <w:i/>
          <w:iCs/>
          <w:spacing w:val="-3"/>
          <w:sz w:val="24"/>
          <w:szCs w:val="24"/>
        </w:rPr>
      </w:r>
    </w:p>
    <w:p>
      <w:pPr>
        <w:pStyle w:val="Normal"/>
        <w:tabs>
          <w:tab w:val="clear" w:pos="720"/>
          <w:tab w:val="left" w:pos="-720" w:leader="none"/>
        </w:tabs>
        <w:suppressAutoHyphens w:val="true"/>
        <w:jc w:val="both"/>
        <w:rPr/>
      </w:pPr>
      <w:r>
        <w:rPr>
          <w:i/>
          <w:iCs/>
          <w:spacing w:val="-3"/>
          <w:sz w:val="24"/>
          <w:szCs w:val="24"/>
        </w:rPr>
        <w:t>Director of the Middle Office:</w:t>
      </w:r>
      <w:r>
        <w:rPr>
          <w:spacing w:val="-3"/>
          <w:sz w:val="24"/>
          <w:szCs w:val="24"/>
        </w:rPr>
        <w:t xml:space="preserve"> </w:t>
      </w:r>
    </w:p>
    <w:p>
      <w:pPr>
        <w:pStyle w:val="Normal"/>
        <w:numPr>
          <w:ilvl w:val="0"/>
          <w:numId w:val="5"/>
        </w:numPr>
        <w:tabs>
          <w:tab w:val="clear" w:pos="720"/>
          <w:tab w:val="left" w:pos="-720" w:leader="none"/>
        </w:tabs>
        <w:suppressAutoHyphens w:val="true"/>
        <w:jc w:val="both"/>
        <w:rPr>
          <w:spacing w:val="-3"/>
          <w:sz w:val="24"/>
          <w:szCs w:val="24"/>
        </w:rPr>
      </w:pPr>
      <w:r>
        <w:rPr>
          <w:spacing w:val="-3"/>
          <w:sz w:val="24"/>
          <w:szCs w:val="24"/>
        </w:rPr>
        <w:t>Directed the financial trading control department of PG&amp;E Trading’s power marketing floor.</w:t>
      </w:r>
    </w:p>
    <w:p>
      <w:pPr>
        <w:pStyle w:val="Normal"/>
        <w:numPr>
          <w:ilvl w:val="0"/>
          <w:numId w:val="5"/>
        </w:numPr>
        <w:tabs>
          <w:tab w:val="clear" w:pos="720"/>
          <w:tab w:val="left" w:pos="-720" w:leader="none"/>
        </w:tabs>
        <w:suppressAutoHyphens w:val="true"/>
        <w:jc w:val="both"/>
        <w:rPr>
          <w:spacing w:val="-3"/>
          <w:sz w:val="24"/>
          <w:szCs w:val="24"/>
        </w:rPr>
      </w:pPr>
      <w:r>
        <w:rPr>
          <w:spacing w:val="-3"/>
          <w:sz w:val="24"/>
          <w:szCs w:val="24"/>
        </w:rPr>
        <w:t xml:space="preserve">Supervised staff in the calculation of daily profit and losses and Value-at-Risk (VaR) for the entire electricity portfolio.  </w:t>
      </w:r>
    </w:p>
    <w:p>
      <w:pPr>
        <w:pStyle w:val="Normal"/>
        <w:numPr>
          <w:ilvl w:val="0"/>
          <w:numId w:val="5"/>
        </w:numPr>
        <w:tabs>
          <w:tab w:val="clear" w:pos="720"/>
          <w:tab w:val="left" w:pos="-720" w:leader="none"/>
        </w:tabs>
        <w:suppressAutoHyphens w:val="true"/>
        <w:jc w:val="both"/>
        <w:rPr>
          <w:spacing w:val="-3"/>
          <w:sz w:val="24"/>
          <w:szCs w:val="24"/>
        </w:rPr>
      </w:pPr>
      <w:r>
        <w:rPr>
          <w:spacing w:val="-3"/>
          <w:sz w:val="24"/>
          <w:szCs w:val="24"/>
        </w:rPr>
        <w:t xml:space="preserve">Also supervised staff in the construction and updating of forward curves used for marking-to-market. </w:t>
      </w:r>
    </w:p>
    <w:p>
      <w:pPr>
        <w:pStyle w:val="Normal"/>
        <w:numPr>
          <w:ilvl w:val="0"/>
          <w:numId w:val="5"/>
        </w:numPr>
        <w:tabs>
          <w:tab w:val="clear" w:pos="720"/>
          <w:tab w:val="left" w:pos="-720" w:leader="none"/>
        </w:tabs>
        <w:suppressAutoHyphens w:val="true"/>
        <w:jc w:val="both"/>
        <w:rPr>
          <w:spacing w:val="-3"/>
          <w:sz w:val="24"/>
          <w:szCs w:val="24"/>
        </w:rPr>
      </w:pPr>
      <w:r>
        <w:rPr>
          <w:spacing w:val="-3"/>
          <w:sz w:val="24"/>
          <w:szCs w:val="24"/>
        </w:rPr>
        <w:t xml:space="preserve">Proposed the company migrate from using Daily VaR to "Holding Period VaR" in its reports to senior management.  </w:t>
      </w:r>
    </w:p>
    <w:p>
      <w:pPr>
        <w:pStyle w:val="Normal"/>
        <w:numPr>
          <w:ilvl w:val="0"/>
          <w:numId w:val="5"/>
        </w:numPr>
        <w:tabs>
          <w:tab w:val="clear" w:pos="720"/>
          <w:tab w:val="left" w:pos="-720" w:leader="none"/>
        </w:tabs>
        <w:suppressAutoHyphens w:val="true"/>
        <w:jc w:val="both"/>
        <w:rPr>
          <w:spacing w:val="-3"/>
          <w:sz w:val="24"/>
          <w:szCs w:val="24"/>
        </w:rPr>
      </w:pPr>
      <w:r>
        <w:rPr>
          <w:spacing w:val="-3"/>
          <w:sz w:val="24"/>
          <w:szCs w:val="24"/>
        </w:rPr>
        <w:t xml:space="preserve">Placed ad on the Internet to hire additional staff, sifted through 70+ resumes in response, and conducted and coordinated phone and in-person interviews.  </w:t>
      </w:r>
    </w:p>
    <w:p>
      <w:pPr>
        <w:pStyle w:val="Normal"/>
        <w:numPr>
          <w:ilvl w:val="0"/>
          <w:numId w:val="5"/>
        </w:numPr>
        <w:tabs>
          <w:tab w:val="clear" w:pos="720"/>
          <w:tab w:val="left" w:pos="-720" w:leader="none"/>
        </w:tabs>
        <w:suppressAutoHyphens w:val="true"/>
        <w:jc w:val="both"/>
        <w:rPr>
          <w:spacing w:val="-3"/>
          <w:sz w:val="24"/>
          <w:szCs w:val="24"/>
        </w:rPr>
      </w:pPr>
      <w:r>
        <w:rPr>
          <w:spacing w:val="-3"/>
          <w:sz w:val="24"/>
          <w:szCs w:val="24"/>
        </w:rPr>
        <w:t xml:space="preserve">Provided risk management perspective on deals originated by marketers.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External Liaison</w:t>
      </w:r>
      <w:r>
        <w:rPr>
          <w:spacing w:val="-3"/>
          <w:sz w:val="24"/>
          <w:szCs w:val="24"/>
        </w:rPr>
        <w:t xml:space="preserve">: </w:t>
      </w:r>
    </w:p>
    <w:p>
      <w:pPr>
        <w:pStyle w:val="Normal"/>
        <w:numPr>
          <w:ilvl w:val="0"/>
          <w:numId w:val="9"/>
        </w:numPr>
        <w:tabs>
          <w:tab w:val="clear" w:pos="720"/>
          <w:tab w:val="left" w:pos="-720" w:leader="none"/>
        </w:tabs>
        <w:suppressAutoHyphens w:val="true"/>
        <w:jc w:val="both"/>
        <w:rPr>
          <w:spacing w:val="-3"/>
          <w:sz w:val="24"/>
          <w:szCs w:val="24"/>
        </w:rPr>
      </w:pPr>
      <w:r>
        <w:rPr>
          <w:spacing w:val="-3"/>
          <w:sz w:val="24"/>
          <w:szCs w:val="24"/>
        </w:rPr>
        <w:t xml:space="preserve">Organized speakers for a full-day workshop plus three sessions for the EPRI conference on Innovative Pricing in Washington, D.C., June 1998.  Served as a session chair and speaker at the conference.  </w:t>
      </w:r>
    </w:p>
    <w:p>
      <w:pPr>
        <w:pStyle w:val="Normal"/>
        <w:numPr>
          <w:ilvl w:val="0"/>
          <w:numId w:val="9"/>
        </w:numPr>
        <w:tabs>
          <w:tab w:val="clear" w:pos="720"/>
          <w:tab w:val="left" w:pos="-720" w:leader="none"/>
        </w:tabs>
        <w:suppressAutoHyphens w:val="true"/>
        <w:jc w:val="both"/>
        <w:rPr>
          <w:spacing w:val="-3"/>
          <w:sz w:val="24"/>
          <w:szCs w:val="24"/>
        </w:rPr>
      </w:pPr>
      <w:r>
        <w:rPr>
          <w:spacing w:val="-3"/>
          <w:sz w:val="24"/>
          <w:szCs w:val="24"/>
        </w:rPr>
        <w:t xml:space="preserve">Organized  sessions for the DistribuTech conference in San Diego, Feb. 1999.  </w:t>
      </w:r>
    </w:p>
    <w:p>
      <w:pPr>
        <w:pStyle w:val="Normal"/>
        <w:numPr>
          <w:ilvl w:val="0"/>
          <w:numId w:val="9"/>
        </w:numPr>
        <w:tabs>
          <w:tab w:val="clear" w:pos="720"/>
          <w:tab w:val="left" w:pos="-720" w:leader="none"/>
        </w:tabs>
        <w:suppressAutoHyphens w:val="true"/>
        <w:jc w:val="both"/>
        <w:rPr>
          <w:spacing w:val="-3"/>
          <w:sz w:val="24"/>
          <w:szCs w:val="24"/>
        </w:rPr>
      </w:pPr>
      <w:r>
        <w:rPr>
          <w:spacing w:val="-3"/>
          <w:sz w:val="24"/>
          <w:szCs w:val="24"/>
        </w:rPr>
        <w:t xml:space="preserve">Served as external liaison between utility's trading floor and Wall Street investment banks.  Initiated discussions on possible </w:t>
      </w:r>
      <w:r>
        <w:rPr>
          <w:b/>
          <w:bCs/>
          <w:spacing w:val="-3"/>
          <w:sz w:val="24"/>
          <w:szCs w:val="24"/>
        </w:rPr>
        <w:t>strategic alliances</w:t>
      </w:r>
      <w:r>
        <w:rPr>
          <w:spacing w:val="-3"/>
          <w:sz w:val="24"/>
          <w:szCs w:val="24"/>
        </w:rPr>
        <w:t xml:space="preserve"> and coordinated these discussion with several organizations at utility (trading floor, risk management, Chief Financial Officer’s organization, Office of the General Counsel) affected by the outcome.  Develop slide presentations suitable for firm’s Committee of Executive Vice Presidents, the Board of Directors, or external regulators.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i/>
          <w:iCs/>
          <w:spacing w:val="-3"/>
          <w:sz w:val="24"/>
          <w:szCs w:val="24"/>
        </w:rPr>
        <w:t>Structured Finance</w:t>
      </w:r>
      <w:r>
        <w:rPr>
          <w:spacing w:val="-3"/>
          <w:sz w:val="24"/>
          <w:szCs w:val="24"/>
        </w:rPr>
        <w:t xml:space="preserve">: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Served as a one-person structured finance desk for TVA’s power trading floor.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Delivered in-house training seminars on Asian (average price) options, binary options, spread options, and hybrid binary-Asian options on electricity.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Determined the agency’s tolerance for risk and helped develop risk management policies and procedures, including appropriate trading limits, consistent with those preferences.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Persevered in helping to change institutional attitudes and the organizational culture.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Consulted on hedging strategies, execution of structured finance and trading strategies, option evaluation, forward curve analysis, and portfolio management.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Determined fair value of options on electricity using a modified Black-Scholes formula and a separate contingent claims model.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Designed and wrote an expert system that gives legal advice about the consequences of curtailing power under various sales contracts.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 xml:space="preserve">Using the SAVA Risk Management software and broker quotes for physical delivery up to eight months out, generated forward curves for various regional markets that could be used for marking to market.  </w:t>
      </w:r>
    </w:p>
    <w:p>
      <w:pPr>
        <w:pStyle w:val="Normal"/>
        <w:numPr>
          <w:ilvl w:val="0"/>
          <w:numId w:val="7"/>
        </w:numPr>
        <w:tabs>
          <w:tab w:val="clear" w:pos="720"/>
          <w:tab w:val="left" w:pos="-720" w:leader="none"/>
        </w:tabs>
        <w:suppressAutoHyphens w:val="true"/>
        <w:jc w:val="both"/>
        <w:rPr>
          <w:spacing w:val="-3"/>
          <w:sz w:val="24"/>
          <w:szCs w:val="24"/>
        </w:rPr>
      </w:pPr>
      <w:r>
        <w:rPr>
          <w:spacing w:val="-3"/>
          <w:sz w:val="24"/>
          <w:szCs w:val="24"/>
        </w:rPr>
        <w:t>Performed generalized autoregressive conditional heteroscedasticity (GARCH) regressions on six years of daily price data for the 5x16 electricity product taking account of both long term and short term determinants of prices.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u w:val="single"/>
        </w:rPr>
        <w:t>Subcontractor, Oak Ridge National Laboratory (ORNL), Oak Ridge, TN</w:t>
      </w:r>
      <w:r>
        <w:rPr>
          <w:spacing w:val="-3"/>
          <w:sz w:val="24"/>
          <w:szCs w:val="24"/>
        </w:rPr>
        <w:t xml:space="preserve">, (1992 - 1994, Summer 1995), Senior Risk Analyst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numPr>
          <w:ilvl w:val="0"/>
          <w:numId w:val="2"/>
        </w:numPr>
        <w:tabs>
          <w:tab w:val="clear" w:pos="720"/>
          <w:tab w:val="left" w:pos="-720" w:leader="none"/>
        </w:tabs>
        <w:suppressAutoHyphens w:val="true"/>
        <w:jc w:val="both"/>
        <w:rPr>
          <w:spacing w:val="-3"/>
          <w:sz w:val="24"/>
          <w:szCs w:val="24"/>
        </w:rPr>
      </w:pPr>
      <w:r>
        <w:rPr>
          <w:spacing w:val="-3"/>
          <w:sz w:val="24"/>
          <w:szCs w:val="24"/>
        </w:rPr>
        <w:t xml:space="preserve">Developed business strategies to privatize some of the radioactive waste processing activities at ORNL with an estimated cost savings to taxpayers &gt; $400 million.  </w:t>
      </w:r>
    </w:p>
    <w:p>
      <w:pPr>
        <w:pStyle w:val="Normal"/>
        <w:numPr>
          <w:ilvl w:val="0"/>
          <w:numId w:val="2"/>
        </w:numPr>
        <w:tabs>
          <w:tab w:val="clear" w:pos="720"/>
          <w:tab w:val="left" w:pos="-720" w:leader="none"/>
        </w:tabs>
        <w:suppressAutoHyphens w:val="true"/>
        <w:jc w:val="both"/>
        <w:rPr>
          <w:spacing w:val="-3"/>
          <w:sz w:val="24"/>
          <w:szCs w:val="24"/>
        </w:rPr>
      </w:pPr>
      <w:r>
        <w:rPr>
          <w:spacing w:val="-3"/>
          <w:sz w:val="24"/>
          <w:szCs w:val="24"/>
        </w:rPr>
        <w:t xml:space="preserve">Proposed terms for a licensing agreement for private firms to use government facilities and land for processing transuranic waste.  </w:t>
      </w:r>
    </w:p>
    <w:p>
      <w:pPr>
        <w:pStyle w:val="Normal"/>
        <w:numPr>
          <w:ilvl w:val="0"/>
          <w:numId w:val="2"/>
        </w:numPr>
        <w:tabs>
          <w:tab w:val="clear" w:pos="720"/>
          <w:tab w:val="left" w:pos="-720" w:leader="none"/>
        </w:tabs>
        <w:suppressAutoHyphens w:val="true"/>
        <w:jc w:val="both"/>
        <w:rPr>
          <w:spacing w:val="-3"/>
          <w:sz w:val="24"/>
          <w:szCs w:val="24"/>
        </w:rPr>
      </w:pPr>
      <w:r>
        <w:rPr>
          <w:spacing w:val="-3"/>
          <w:sz w:val="24"/>
          <w:szCs w:val="24"/>
        </w:rPr>
        <w:t xml:space="preserve">Served as co-editor of the Environmental Restoration Monitoring and Assessment Report for ORNL (1994), with responsibility for editing section on human health and ecological risk assessment.    </w:t>
      </w:r>
    </w:p>
    <w:p>
      <w:pPr>
        <w:pStyle w:val="Normal"/>
        <w:numPr>
          <w:ilvl w:val="0"/>
          <w:numId w:val="2"/>
        </w:numPr>
        <w:tabs>
          <w:tab w:val="clear" w:pos="720"/>
          <w:tab w:val="left" w:pos="-720" w:leader="none"/>
        </w:tabs>
        <w:suppressAutoHyphens w:val="true"/>
        <w:jc w:val="both"/>
        <w:rPr>
          <w:spacing w:val="-3"/>
          <w:sz w:val="24"/>
          <w:szCs w:val="24"/>
        </w:rPr>
      </w:pPr>
      <w:r>
        <w:rPr>
          <w:spacing w:val="-3"/>
          <w:sz w:val="24"/>
          <w:szCs w:val="24"/>
        </w:rPr>
        <w:t xml:space="preserve">Received two letters of commendation from clients for consistently preparing deliverables ahead of schedule, keeping abreast of the latest programmatic developments, and suggesting a streamlined approach to environmental program documents that would lead to cost savings.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u w:val="single"/>
        </w:rPr>
        <w:t>Credit Suisse First Boston, Frankfurt and London</w:t>
      </w:r>
      <w:r>
        <w:rPr>
          <w:spacing w:val="-3"/>
          <w:sz w:val="24"/>
          <w:szCs w:val="24"/>
        </w:rPr>
        <w:t>, (1991 - 1992)</w:t>
      </w:r>
    </w:p>
    <w:p>
      <w:pPr>
        <w:pStyle w:val="Normal"/>
        <w:tabs>
          <w:tab w:val="clear" w:pos="720"/>
          <w:tab w:val="left" w:pos="-720" w:leader="none"/>
        </w:tabs>
        <w:suppressAutoHyphens w:val="true"/>
        <w:jc w:val="both"/>
        <w:rPr>
          <w:spacing w:val="-3"/>
          <w:sz w:val="24"/>
          <w:szCs w:val="24"/>
        </w:rPr>
      </w:pPr>
      <w:r>
        <w:rPr>
          <w:spacing w:val="-3"/>
          <w:sz w:val="24"/>
          <w:szCs w:val="24"/>
        </w:rPr>
        <w:t xml:space="preserve">Research Manager (Asst. Vice President level)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numPr>
          <w:ilvl w:val="0"/>
          <w:numId w:val="4"/>
        </w:numPr>
        <w:tabs>
          <w:tab w:val="clear" w:pos="720"/>
          <w:tab w:val="left" w:pos="-720" w:leader="none"/>
        </w:tabs>
        <w:suppressAutoHyphens w:val="true"/>
        <w:jc w:val="both"/>
        <w:rPr>
          <w:spacing w:val="-3"/>
          <w:sz w:val="24"/>
          <w:szCs w:val="24"/>
        </w:rPr>
      </w:pPr>
      <w:r>
        <w:rPr>
          <w:spacing w:val="-3"/>
          <w:sz w:val="24"/>
          <w:szCs w:val="24"/>
        </w:rPr>
        <w:t>In Frankfurt, sat at the equity option trading desk to learn how traders use option parameters (delta, gamma, sigma) to manage their positions.</w:t>
      </w:r>
    </w:p>
    <w:p>
      <w:pPr>
        <w:pStyle w:val="Normal"/>
        <w:numPr>
          <w:ilvl w:val="0"/>
          <w:numId w:val="4"/>
        </w:numPr>
        <w:tabs>
          <w:tab w:val="clear" w:pos="720"/>
          <w:tab w:val="left" w:pos="-720" w:leader="none"/>
        </w:tabs>
        <w:suppressAutoHyphens w:val="true"/>
        <w:jc w:val="both"/>
        <w:rPr>
          <w:spacing w:val="-3"/>
          <w:sz w:val="24"/>
          <w:szCs w:val="24"/>
        </w:rPr>
      </w:pPr>
      <w:r>
        <w:rPr>
          <w:spacing w:val="-3"/>
          <w:sz w:val="24"/>
          <w:szCs w:val="24"/>
        </w:rPr>
        <w:t xml:space="preserve">Statistically tested three forms of arbitrage with subsets of stocks from the German DAX index. </w:t>
      </w:r>
    </w:p>
    <w:p>
      <w:pPr>
        <w:pStyle w:val="Normal"/>
        <w:numPr>
          <w:ilvl w:val="0"/>
          <w:numId w:val="4"/>
        </w:numPr>
        <w:tabs>
          <w:tab w:val="clear" w:pos="720"/>
          <w:tab w:val="left" w:pos="-720" w:leader="none"/>
        </w:tabs>
        <w:suppressAutoHyphens w:val="true"/>
        <w:jc w:val="both"/>
        <w:rPr>
          <w:spacing w:val="-3"/>
          <w:sz w:val="24"/>
          <w:szCs w:val="24"/>
        </w:rPr>
      </w:pPr>
      <w:r>
        <w:rPr>
          <w:spacing w:val="-3"/>
          <w:sz w:val="24"/>
          <w:szCs w:val="24"/>
        </w:rPr>
        <w:t xml:space="preserve">In London, covered the British government bond trading desk for the monthly fixed income report.  Provided trading and sales quantitative support on topics ranging from immunized portfolios, to accelerated binomial approximations, to statistical evidence on the correlations between European financial markets.  </w:t>
      </w:r>
    </w:p>
    <w:p>
      <w:pPr>
        <w:pStyle w:val="Normal"/>
        <w:numPr>
          <w:ilvl w:val="0"/>
          <w:numId w:val="4"/>
        </w:numPr>
        <w:tabs>
          <w:tab w:val="clear" w:pos="720"/>
          <w:tab w:val="left" w:pos="-720" w:leader="none"/>
        </w:tabs>
        <w:suppressAutoHyphens w:val="true"/>
        <w:jc w:val="both"/>
        <w:rPr>
          <w:spacing w:val="-3"/>
          <w:sz w:val="24"/>
          <w:szCs w:val="24"/>
        </w:rPr>
      </w:pPr>
      <w:r>
        <w:rPr>
          <w:spacing w:val="-3"/>
          <w:sz w:val="24"/>
          <w:szCs w:val="24"/>
        </w:rPr>
        <w:t xml:space="preserve">Met with clients to explain hedging principles and the various costs of alternative hedging strategies to manage portfolio risk.  </w:t>
      </w:r>
    </w:p>
    <w:p>
      <w:pPr>
        <w:pStyle w:val="Normal"/>
        <w:numPr>
          <w:ilvl w:val="0"/>
          <w:numId w:val="4"/>
        </w:numPr>
        <w:tabs>
          <w:tab w:val="clear" w:pos="720"/>
          <w:tab w:val="left" w:pos="-720" w:leader="none"/>
        </w:tabs>
        <w:suppressAutoHyphens w:val="true"/>
        <w:jc w:val="both"/>
        <w:rPr>
          <w:spacing w:val="-3"/>
          <w:sz w:val="24"/>
          <w:szCs w:val="24"/>
        </w:rPr>
      </w:pPr>
      <w:r>
        <w:rPr>
          <w:spacing w:val="-3"/>
          <w:sz w:val="24"/>
          <w:szCs w:val="24"/>
        </w:rPr>
        <w:t xml:space="preserve">Examined the time scale factor underpinnings of the Olsen &amp; Associates foreign exchange forecasting model, which has been yielding 70% accurate 3-month exchange forecasts.  </w:t>
      </w:r>
    </w:p>
    <w:p>
      <w:pPr>
        <w:pStyle w:val="Normal"/>
        <w:numPr>
          <w:ilvl w:val="0"/>
          <w:numId w:val="4"/>
        </w:numPr>
        <w:tabs>
          <w:tab w:val="clear" w:pos="720"/>
          <w:tab w:val="left" w:pos="-720" w:leader="none"/>
        </w:tabs>
        <w:suppressAutoHyphens w:val="true"/>
        <w:jc w:val="both"/>
        <w:rPr>
          <w:spacing w:val="-3"/>
          <w:sz w:val="24"/>
          <w:szCs w:val="24"/>
        </w:rPr>
      </w:pPr>
      <w:r>
        <w:rPr>
          <w:spacing w:val="-3"/>
          <w:sz w:val="24"/>
          <w:szCs w:val="24"/>
        </w:rPr>
        <w:t xml:space="preserve">Audited proprietary trading desk computations for the fair value of an option on the spread between two assets, e.g., German and French government bonds. </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u w:val="single"/>
        </w:rPr>
        <w:t>Deutsche Asset Management, Deutsche Bank Group, Frankfurt</w:t>
      </w:r>
      <w:r>
        <w:rPr>
          <w:spacing w:val="-3"/>
          <w:sz w:val="24"/>
          <w:szCs w:val="24"/>
        </w:rPr>
        <w:t>, (1989 - 1991)</w:t>
      </w:r>
    </w:p>
    <w:p>
      <w:pPr>
        <w:pStyle w:val="Normal"/>
        <w:tabs>
          <w:tab w:val="clear" w:pos="720"/>
          <w:tab w:val="left" w:pos="-720" w:leader="none"/>
        </w:tabs>
        <w:suppressAutoHyphens w:val="true"/>
        <w:jc w:val="both"/>
        <w:rPr>
          <w:spacing w:val="-3"/>
          <w:sz w:val="24"/>
          <w:szCs w:val="24"/>
        </w:rPr>
      </w:pPr>
      <w:r>
        <w:rPr>
          <w:spacing w:val="-3"/>
          <w:sz w:val="24"/>
          <w:szCs w:val="24"/>
        </w:rPr>
        <w:t>Quantitative Research Manager</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BodyText"/>
        <w:numPr>
          <w:ilvl w:val="0"/>
          <w:numId w:val="6"/>
        </w:numPr>
        <w:rPr/>
      </w:pPr>
      <w:r>
        <w:rPr/>
        <w:t xml:space="preserve">Prepared report on long-term (2-3 year) options with stochastic volatilities and interest rates.  Collaborated on a European Tactical Asset Allocation model designed for market timing between 12 European stock markets.  Using a market return forecasting rule developed internally at Deutsche Bank, this model yielded monthly portfolio weightings for the percentage of funds to be allocated to France, Germany, U.K., Switzerland, etc.  </w:t>
      </w:r>
    </w:p>
    <w:p>
      <w:pPr>
        <w:pStyle w:val="BodyText"/>
        <w:numPr>
          <w:ilvl w:val="0"/>
          <w:numId w:val="6"/>
        </w:numPr>
        <w:rPr/>
      </w:pPr>
      <w:r>
        <w:rPr/>
        <w:t xml:space="preserve">Answered technical questions on marketing calls to clients for passive fund and other quantitative asset management products.  </w:t>
      </w:r>
    </w:p>
    <w:p>
      <w:pPr>
        <w:pStyle w:val="BodyText"/>
        <w:numPr>
          <w:ilvl w:val="0"/>
          <w:numId w:val="6"/>
        </w:numPr>
        <w:rPr/>
      </w:pPr>
      <w:r>
        <w:rPr/>
        <w:t xml:space="preserve">Developed and implemented hedging strategies to minimize portfolio risks.  </w:t>
      </w:r>
    </w:p>
    <w:p>
      <w:pPr>
        <w:pStyle w:val="BodyText"/>
        <w:numPr>
          <w:ilvl w:val="0"/>
          <w:numId w:val="6"/>
        </w:numPr>
        <w:rPr/>
      </w:pPr>
      <w:r>
        <w:rPr/>
        <w:t>Developed econometric models to explain German and French government bond prices and the correlations between bond portfolios.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u w:val="single"/>
        </w:rPr>
        <w:t>Oak Ridge National Laboratory, Oak Ridge, TN</w:t>
      </w:r>
      <w:r>
        <w:rPr>
          <w:spacing w:val="-3"/>
          <w:sz w:val="24"/>
          <w:szCs w:val="24"/>
        </w:rPr>
        <w:t>, (1985 - 1989)</w:t>
      </w:r>
    </w:p>
    <w:p>
      <w:pPr>
        <w:pStyle w:val="Normal"/>
        <w:tabs>
          <w:tab w:val="clear" w:pos="720"/>
          <w:tab w:val="left" w:pos="-720" w:leader="none"/>
        </w:tabs>
        <w:suppressAutoHyphens w:val="true"/>
        <w:jc w:val="both"/>
        <w:rPr>
          <w:spacing w:val="-3"/>
          <w:sz w:val="24"/>
          <w:szCs w:val="24"/>
        </w:rPr>
      </w:pPr>
      <w:r>
        <w:rPr>
          <w:spacing w:val="-3"/>
          <w:sz w:val="24"/>
          <w:szCs w:val="24"/>
        </w:rPr>
        <w:t>As subcontractor, served as Principal Investigator for cost-benefit analysis of the Army's computerized ammunition ordering system; supervised staff responsible for tasks including a manufacturing resources planning (MRP) and just in time (JIT) acquisition of resources, benefits derived from reducing clogs on unfilled orders, an econometric model explaining changes in ammunition inventories.  Marketing - tracked large multi-year, multi-million dollar Requests for Proposals issued by federal agencies.  Served as proposal manager and marketed the company's technical capabilities and products.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 xml:space="preserve">As U. S. Department of Energy Postdoctoral Research Fellow, led team to develop "proof of principle" and then working prototype expert system for the Joint Theater Level Simulation war gaming model.  Also studied artificial intelligence algorithms for reactor control and preventive maintenance in the utility industry.  Developed small prototype expert system to diagnose problems in the heat exchanger/core interface of a pressurized water reactor.  (This work was published in the journal </w:t>
      </w:r>
      <w:r>
        <w:rPr>
          <w:smallCaps/>
          <w:spacing w:val="-3"/>
          <w:sz w:val="24"/>
          <w:szCs w:val="24"/>
        </w:rPr>
        <w:t>Nuclear Engineering and Design</w:t>
      </w:r>
      <w:r>
        <w:rPr>
          <w:spacing w:val="-3"/>
          <w:sz w:val="24"/>
          <w:szCs w:val="24"/>
        </w:rPr>
        <w: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BodyText"/>
        <w:rPr/>
      </w:pPr>
      <w:r>
        <w:rPr/>
        <w:t>As Graduate Research Assistant, studied uncertainty paradigms for the inference engine of an expert system for the HERMIES robot, which is designed to perform cleanup activities in utility plants in areas too hazardous for humans.  This expert system design work led to a series of publications on Dempster-Shafer theory and fuzzy logic.  Developed applied mathematical models for energy production and energy commodity price fluctuations using optimal control theory and stochastic calculus.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u w:val="single"/>
        </w:rPr>
        <w:t>Jet Propulsion Laboratory, Pasadena, CA</w:t>
      </w:r>
      <w:r>
        <w:rPr>
          <w:spacing w:val="-3"/>
          <w:sz w:val="24"/>
          <w:szCs w:val="24"/>
        </w:rPr>
        <w:t>, (1982 - 1984)</w:t>
      </w:r>
    </w:p>
    <w:p>
      <w:pPr>
        <w:pStyle w:val="Normal"/>
        <w:tabs>
          <w:tab w:val="clear" w:pos="720"/>
          <w:tab w:val="left" w:pos="-720" w:leader="none"/>
        </w:tabs>
        <w:suppressAutoHyphens w:val="true"/>
        <w:jc w:val="both"/>
        <w:rPr>
          <w:spacing w:val="-3"/>
          <w:sz w:val="24"/>
          <w:szCs w:val="24"/>
        </w:rPr>
      </w:pPr>
      <w:r>
        <w:rPr>
          <w:spacing w:val="-3"/>
          <w:sz w:val="24"/>
          <w:szCs w:val="24"/>
        </w:rPr>
        <w:t>Economist and Graduate Research Assistant</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Wrote reports on the role of hydrogen in meeting national energy demands, solar energy market penetration, and computer simulations of demand load curves and peak time consumption for electric utilities in the U.S. Southwest.</w:t>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s>
        <w:suppressAutoHyphens w:val="true"/>
        <w:jc w:val="both"/>
        <w:rPr>
          <w:spacing w:val="-3"/>
          <w:sz w:val="28"/>
          <w:szCs w:val="28"/>
        </w:rPr>
      </w:pPr>
      <w:r>
        <w:rPr>
          <w:b/>
          <w:bCs/>
          <w:spacing w:val="-3"/>
          <w:sz w:val="28"/>
          <w:szCs w:val="28"/>
        </w:rPr>
        <w:t>SELECTED PUBLICATIONS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w:t>
      </w:r>
      <w:r>
        <w:rPr>
          <w:spacing w:val="-3"/>
          <w:sz w:val="24"/>
          <w:szCs w:val="24"/>
        </w:rPr>
        <w:t xml:space="preserve">Availability Guarantees on Combined-Cycle Plants,” </w:t>
      </w:r>
      <w:r>
        <w:rPr>
          <w:i/>
          <w:iCs/>
          <w:spacing w:val="-3"/>
          <w:sz w:val="24"/>
          <w:szCs w:val="24"/>
        </w:rPr>
        <w:t>Power Engineering</w:t>
      </w:r>
      <w:r>
        <w:rPr>
          <w:spacing w:val="-3"/>
          <w:sz w:val="24"/>
          <w:szCs w:val="24"/>
        </w:rPr>
        <w:t>, March 2001.</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spacing w:val="-3"/>
          <w:sz w:val="24"/>
          <w:szCs w:val="24"/>
        </w:rPr>
        <w:t>“</w:t>
      </w:r>
      <w:r>
        <w:rPr>
          <w:spacing w:val="-3"/>
          <w:sz w:val="24"/>
          <w:szCs w:val="24"/>
        </w:rPr>
        <w:t xml:space="preserve">Blowing Hot and Cold,” </w:t>
      </w:r>
      <w:r>
        <w:rPr>
          <w:i/>
          <w:iCs/>
          <w:spacing w:val="-3"/>
          <w:sz w:val="24"/>
          <w:szCs w:val="24"/>
        </w:rPr>
        <w:t>Energy and Power Risk Management</w:t>
      </w:r>
      <w:r>
        <w:rPr>
          <w:spacing w:val="-3"/>
          <w:sz w:val="24"/>
          <w:szCs w:val="24"/>
        </w:rPr>
        <w:t>, April 2000.</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pacing w:val="-3"/>
          <w:sz w:val="24"/>
          <w:szCs w:val="24"/>
        </w:rPr>
      </w:pPr>
      <w:r>
        <w:rPr>
          <w:spacing w:val="-3"/>
          <w:sz w:val="24"/>
          <w:szCs w:val="24"/>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spacing w:val="-3"/>
          <w:sz w:val="24"/>
          <w:szCs w:val="24"/>
        </w:rPr>
        <w:t>“</w:t>
      </w:r>
      <w:r>
        <w:rPr>
          <w:spacing w:val="-3"/>
          <w:sz w:val="24"/>
          <w:szCs w:val="24"/>
        </w:rPr>
        <w:t xml:space="preserve">An Expert System for Curtailing Power,” </w:t>
      </w:r>
      <w:r>
        <w:rPr>
          <w:i/>
          <w:iCs/>
          <w:spacing w:val="-3"/>
          <w:sz w:val="24"/>
          <w:szCs w:val="24"/>
        </w:rPr>
        <w:t>West Virginia Journal of Law and Technology</w:t>
      </w:r>
      <w:r>
        <w:rPr>
          <w:spacing w:val="-3"/>
          <w:sz w:val="24"/>
          <w:szCs w:val="24"/>
        </w:rPr>
        <w:t xml:space="preserve"> (March 1999), available on-line at http://www.wvjolt.wvu.edu/Latest%20Issue/guth.html</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spacing w:val="-3"/>
          <w:sz w:val="24"/>
          <w:szCs w:val="24"/>
        </w:rPr>
      </w:pPr>
      <w:r>
        <w:rPr>
          <w:spacing w:val="-3"/>
          <w:sz w:val="24"/>
          <w:szCs w:val="24"/>
        </w:rPr>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spacing w:val="-3"/>
          <w:sz w:val="24"/>
          <w:szCs w:val="24"/>
        </w:rPr>
        <w:t>“</w:t>
      </w:r>
      <w:r>
        <w:rPr>
          <w:spacing w:val="-3"/>
          <w:sz w:val="24"/>
          <w:szCs w:val="24"/>
        </w:rPr>
        <w:t xml:space="preserve">Anticipating Antitrust Concerns Nets M&amp;A Success,” </w:t>
      </w:r>
      <w:r>
        <w:rPr>
          <w:i/>
          <w:iCs/>
          <w:spacing w:val="-3"/>
          <w:sz w:val="24"/>
          <w:szCs w:val="24"/>
        </w:rPr>
        <w:t>Electric, Light, and Power</w:t>
      </w:r>
      <w:r>
        <w:rPr>
          <w:spacing w:val="-3"/>
          <w:sz w:val="24"/>
          <w:szCs w:val="24"/>
        </w:rPr>
        <w:t>, October 1999.</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w:t>
      </w:r>
      <w:r>
        <w:rPr>
          <w:spacing w:val="-3"/>
          <w:sz w:val="24"/>
          <w:szCs w:val="24"/>
        </w:rPr>
        <w:t xml:space="preserve">Let Us Do Our Job,” </w:t>
      </w:r>
      <w:r>
        <w:rPr>
          <w:i/>
          <w:iCs/>
          <w:spacing w:val="-3"/>
          <w:sz w:val="24"/>
          <w:szCs w:val="24"/>
        </w:rPr>
        <w:t>Energy and Power Risk Management</w:t>
      </w:r>
      <w:r>
        <w:rPr>
          <w:spacing w:val="-3"/>
          <w:sz w:val="24"/>
          <w:szCs w:val="24"/>
        </w:rPr>
        <w:t>, March 1999.</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w:t>
      </w:r>
      <w:r>
        <w:rPr>
          <w:spacing w:val="-3"/>
          <w:sz w:val="24"/>
          <w:szCs w:val="24"/>
        </w:rPr>
        <w:t xml:space="preserve">How to Evaluate Electricity Options:  Avoid Relying on Black-Scholes,” </w:t>
      </w:r>
      <w:r>
        <w:rPr>
          <w:i/>
          <w:iCs/>
          <w:spacing w:val="-3"/>
          <w:sz w:val="24"/>
          <w:szCs w:val="24"/>
        </w:rPr>
        <w:t>Electric, Light, and Power</w:t>
      </w:r>
      <w:r>
        <w:rPr>
          <w:spacing w:val="-3"/>
          <w:sz w:val="24"/>
          <w:szCs w:val="24"/>
        </w:rPr>
        <w:t>, Dec.1998.</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w:t>
      </w:r>
      <w:r>
        <w:rPr>
          <w:spacing w:val="-3"/>
          <w:sz w:val="24"/>
          <w:szCs w:val="24"/>
        </w:rPr>
        <w:t xml:space="preserve">Value-at-Risk is Not Enough,” </w:t>
      </w:r>
      <w:r>
        <w:rPr>
          <w:i/>
          <w:iCs/>
          <w:spacing w:val="-3"/>
          <w:sz w:val="24"/>
          <w:szCs w:val="24"/>
        </w:rPr>
        <w:t>Energy and Power Risk Management</w:t>
      </w:r>
      <w:r>
        <w:rPr>
          <w:spacing w:val="-3"/>
          <w:sz w:val="24"/>
          <w:szCs w:val="24"/>
        </w:rPr>
        <w:t>, Nov. 1998.</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w:t>
      </w:r>
      <w:r>
        <w:rPr>
          <w:spacing w:val="-3"/>
          <w:sz w:val="24"/>
          <w:szCs w:val="24"/>
        </w:rPr>
        <w:t xml:space="preserve">Expert Systems for Non-Experts,” </w:t>
      </w:r>
      <w:r>
        <w:rPr>
          <w:i/>
          <w:iCs/>
          <w:spacing w:val="-3"/>
          <w:sz w:val="24"/>
          <w:szCs w:val="24"/>
        </w:rPr>
        <w:t>Energy and Power Risk Management</w:t>
      </w:r>
      <w:r>
        <w:rPr>
          <w:spacing w:val="-3"/>
          <w:sz w:val="24"/>
          <w:szCs w:val="24"/>
        </w:rPr>
        <w:t>, Sept. 1998; (article pertains to legal consequences of curtailing power under various sales contracts).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pacing w:val="-3"/>
          <w:sz w:val="24"/>
          <w:szCs w:val="24"/>
        </w:rPr>
        <w:t>“</w:t>
      </w:r>
      <w:r>
        <w:rPr>
          <w:spacing w:val="-3"/>
          <w:sz w:val="24"/>
          <w:szCs w:val="24"/>
        </w:rPr>
        <w:t xml:space="preserve">Drive to Compete May Result in Unexpected Legal Implications,” </w:t>
      </w:r>
      <w:r>
        <w:rPr>
          <w:i/>
          <w:iCs/>
          <w:spacing w:val="-3"/>
          <w:sz w:val="24"/>
          <w:szCs w:val="24"/>
        </w:rPr>
        <w:t xml:space="preserve">Energy Marketing, </w:t>
      </w:r>
      <w:r>
        <w:rPr>
          <w:spacing w:val="-3"/>
          <w:sz w:val="24"/>
          <w:szCs w:val="24"/>
        </w:rPr>
        <w:t>July-August 1998, pp</w:t>
      </w:r>
      <w:r>
        <w:rPr>
          <w:i/>
          <w:iCs/>
          <w:spacing w:val="-3"/>
          <w:sz w:val="24"/>
          <w:szCs w:val="24"/>
        </w:rPr>
        <w:t>.</w:t>
      </w:r>
      <w:r>
        <w:rPr>
          <w:spacing w:val="-3"/>
          <w:sz w:val="24"/>
          <w:szCs w:val="24"/>
        </w:rPr>
        <w:t xml:space="preserve"> 8-15.  Article based on talk “Jurassic Spark:  Business Torts, Crimes, and Dinosaurs in Competitive Electricity Markets.”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pPr>
      <w:r>
        <w:rPr>
          <w:smallCaps/>
          <w:spacing w:val="-3"/>
          <w:sz w:val="24"/>
          <w:szCs w:val="24"/>
        </w:rPr>
        <w:t>Speculative Behavior and the Operation of Competitive Markets Under Uncertainty</w:t>
      </w:r>
      <w:r>
        <w:rPr>
          <w:spacing w:val="-3"/>
          <w:sz w:val="24"/>
          <w:szCs w:val="24"/>
        </w:rPr>
        <w:t xml:space="preserve"> (Ashgate Publishing, London, December 1994).  The book contains chapter comments from a number of leading economics and finance academics including a former president of the American Economics Association and a Nobel Laureate.</w:t>
      </w:r>
    </w:p>
    <w:p>
      <w:pPr>
        <w:pStyle w:val="Normal"/>
        <w:tabs>
          <w:tab w:val="clear" w:pos="720"/>
          <w:tab w:val="left" w:pos="-720" w:leader="none"/>
        </w:tabs>
        <w:suppressAutoHyphens w:val="true"/>
        <w:jc w:val="both"/>
        <w:rPr>
          <w:spacing w:val="-3"/>
          <w:sz w:val="24"/>
          <w:szCs w:val="24"/>
        </w:rPr>
      </w:pPr>
      <w:r>
        <w:rPr>
          <w:spacing w:val="-3"/>
          <w:sz w:val="24"/>
          <w:szCs w:val="24"/>
        </w:rPr>
      </w:r>
    </w:p>
    <w:sectPr>
      <w:headerReference w:type="default" r:id="rId2"/>
      <w:footerReference w:type="default" r:id="rId3"/>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szCs w:val="24"/>
      </w:rPr>
    </w:pPr>
    <w:r>
      <w:rPr>
        <w:sz w:val="24"/>
        <w:szCs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szCs w:val="24"/>
        <w:lang w:val="en-CA" w:eastAsia="en-CA"/>
      </w:rPr>
    </w:pPr>
    <w:r>
      <w:rPr>
        <w:sz w:val="24"/>
        <w:szCs w:val="24"/>
        <w:lang w:val="en-CA" w:eastAsia="en-CA"/>
      </w:rPr>
    </w:r>
    <w:r>
      <mc:AlternateContent>
        <mc:Choice Requires="wps">
          <w:drawing>
            <wp:anchor behindDoc="1" distT="0" distB="0" distL="114935" distR="114935" simplePos="0" locked="0" layoutInCell="0" allowOverlap="1" relativeHeight="11">
              <wp:simplePos x="0" y="0"/>
              <wp:positionH relativeFrom="page">
                <wp:posOffset>914400</wp:posOffset>
              </wp:positionH>
              <wp:positionV relativeFrom="paragraph">
                <wp:posOffset>635</wp:posOffset>
              </wp:positionV>
              <wp:extent cx="5943600" cy="152400"/>
              <wp:effectExtent l="0" t="0" r="0" b="0"/>
              <wp:wrapNone/>
              <wp:docPr id="1" name="Frame2"/>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sz w:val="24"/>
                              <w:szCs w:val="24"/>
                            </w:rPr>
                          </w:pPr>
                          <w:r>
                            <w:rPr>
                              <w:sz w:val="24"/>
                              <w:szCs w:val="24"/>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sz w:val="24"/>
                        <w:szCs w:val="24"/>
                      </w:rPr>
                    </w:pPr>
                    <w:r>
                      <w:rPr>
                        <w:sz w:val="24"/>
                        <w:szCs w:val="24"/>
                      </w:rPr>
                    </w:r>
                  </w:p>
                </w:txbxContent>
              </v:textbox>
              <w10:wrap type="none"/>
            </v:rect>
          </w:pict>
        </mc:Fallback>
      </mc:AlternateContent>
    </w:r>
  </w:p>
  <w:p>
    <w:pPr>
      <w:pStyle w:val="Normal"/>
      <w:spacing w:lineRule="exact" w:line="100" w:before="0" w:after="140"/>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ind w:hanging="0" w:start="3390" w:end="0"/>
      <w:jc w:val="center"/>
      <w:outlineLvl w:val="0"/>
    </w:pPr>
    <w:rPr>
      <w:b/>
      <w:bCs/>
      <w:spacing w:val="-3"/>
      <w:sz w:val="24"/>
      <w:szCs w:val="24"/>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center"/>
      <w:outlineLvl w:val="1"/>
    </w:pPr>
    <w:rPr>
      <w:b/>
      <w:bCs/>
      <w:spacing w:val="-3"/>
      <w:sz w:val="24"/>
      <w:szCs w:val="24"/>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jc w:val="both"/>
      <w:outlineLvl w:val="2"/>
    </w:pPr>
    <w:rPr>
      <w:rFonts w:ascii="Arial" w:hAnsi="Arial" w:cs="Arial"/>
      <w:i/>
      <w:iCs/>
      <w:spacing w:val="-3"/>
      <w:sz w:val="22"/>
      <w:szCs w:val="22"/>
    </w:rPr>
  </w:style>
  <w:style w:type="character" w:styleId="WW8Num2z0">
    <w:name w:val="WW8Num2z0"/>
    <w:qFormat/>
    <w:rPr>
      <w:rFonts w:ascii="Symbol" w:hAnsi="Symbol"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Times New Roman"/>
    </w:rPr>
  </w:style>
  <w:style w:type="character" w:styleId="WW8Num3z0">
    <w:name w:val="WW8Num3z0"/>
    <w:qFormat/>
    <w:rPr/>
  </w:style>
  <w:style w:type="character" w:styleId="WW8Num4z0">
    <w:name w:val="WW8Num4z0"/>
    <w:qFormat/>
    <w:rPr>
      <w:rFonts w:ascii="Symbol" w:hAnsi="Symbol"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Times New Roman"/>
    </w:rPr>
  </w:style>
  <w:style w:type="character" w:styleId="WW8Num5z0">
    <w:name w:val="WW8Num5z0"/>
    <w:qFormat/>
    <w:rPr>
      <w:rFonts w:ascii="Symbol" w:hAnsi="Symbol"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Times New Roman"/>
    </w:rPr>
  </w:style>
  <w:style w:type="character" w:styleId="WW8Num6z0">
    <w:name w:val="WW8Num6z0"/>
    <w:qFormat/>
    <w:rPr>
      <w:rFonts w:ascii="Symbol" w:hAnsi="Symbol"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Times New Roman"/>
    </w:rPr>
  </w:style>
  <w:style w:type="character" w:styleId="WW8Num7z0">
    <w:name w:val="WW8Num7z0"/>
    <w:qFormat/>
    <w:rPr>
      <w:rFonts w:ascii="Symbol" w:hAnsi="Symbol"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Times New Roman"/>
    </w:rPr>
  </w:style>
  <w:style w:type="character" w:styleId="WW8Num8z0">
    <w:name w:val="WW8Num8z0"/>
    <w:qFormat/>
    <w:rPr>
      <w:rFonts w:ascii="Symbol" w:hAnsi="Symbol"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Times New Roman"/>
    </w:rPr>
  </w:style>
  <w:style w:type="character" w:styleId="WW8Num9z0">
    <w:name w:val="WW8Num9z0"/>
    <w:qFormat/>
    <w:rPr>
      <w:rFonts w:ascii="Symbol" w:hAnsi="Symbol"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Times New Roman"/>
    </w:rPr>
  </w:style>
  <w:style w:type="character" w:styleId="WW8Num10z0">
    <w:name w:val="WW8Num10z0"/>
    <w:qFormat/>
    <w:rPr>
      <w:rFonts w:ascii="Symbol" w:hAnsi="Symbol"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1z0">
    <w:name w:val="WW8Num11z0"/>
    <w:qFormat/>
    <w:rPr>
      <w:rFonts w:ascii="Symbol" w:hAnsi="Symbol" w:cs="Times New Roman"/>
    </w:rPr>
  </w:style>
  <w:style w:type="character" w:styleId="WW8NumSt3z0">
    <w:name w:val="WW8NumSt3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spacing w:val="-3"/>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qFormat/>
    <w:pPr>
      <w:widowControl/>
      <w:autoSpaceDE w:val="false"/>
      <w:bidi w:val="0"/>
      <w:ind w:hanging="0" w:start="720" w:end="0"/>
    </w:pPr>
    <w:rPr>
      <w:rFonts w:ascii="Arial" w:hAnsi="Arial" w:eastAsia="Times New Roman" w:cs="Arial"/>
      <w:color w:val="auto"/>
      <w:sz w:val="20"/>
      <w:szCs w:val="20"/>
      <w:lang w:val="en-US" w:bidi="ar-SA" w:eastAsia="zh-CN"/>
    </w:rPr>
  </w:style>
  <w:style w:type="paragraph" w:styleId="FrameContents">
    <w:name w:val="Frame Contents"/>
    <w:basedOn w:val="Normal"/>
    <w:qFormat/>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2001-05-24T17:36:00Z</dcterms:created>
  <dc:creator>EMPLOYEE OF</dc:creator>
  <dc:description/>
  <dc:language>en-CA</dc:language>
  <cp:lastModifiedBy>mmagee</cp:lastModifiedBy>
  <cp:lastPrinted>1998-12-30T10:21:00Z</cp:lastPrinted>
  <dcterms:modified xsi:type="dcterms:W3CDTF">2001-05-24T17:36:00Z</dcterms:modified>
  <cp:revision>2</cp:revision>
  <dc:subject/>
  <dc:title/>
</cp:coreProperties>
</file>