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t>(</w:t>
      </w:r>
      <w:r>
        <w:rPr>
          <w:i/>
        </w:rPr>
        <w:t>Company Letterhead</w:t>
      </w:r>
      <w:r>
        <w:rPr/>
        <w:t>)</w:t>
      </w:r>
    </w:p>
    <w:p>
      <w:pPr>
        <w:pStyle w:val="Normal"/>
        <w:rPr/>
      </w:pPr>
      <w:r>
        <w:rPr/>
      </w:r>
    </w:p>
    <w:p>
      <w:pPr>
        <w:pStyle w:val="Normal"/>
        <w:rPr/>
      </w:pPr>
      <w:r>
        <w:rPr/>
        <w:t>November [xx], 2001</w:t>
      </w:r>
    </w:p>
    <w:p>
      <w:pPr>
        <w:pStyle w:val="Normal"/>
        <w:rPr/>
      </w:pPr>
      <w:r>
        <w:rPr/>
      </w:r>
    </w:p>
    <w:p>
      <w:pPr>
        <w:pStyle w:val="Normal"/>
        <w:rPr/>
      </w:pPr>
      <w:r>
        <w:rPr/>
        <w:t>Arthur Andersen LLP</w:t>
      </w:r>
    </w:p>
    <w:p>
      <w:pPr>
        <w:pStyle w:val="Normal"/>
        <w:rPr/>
      </w:pPr>
      <w:r>
        <w:rPr/>
        <w:t>711 Louisiana Ste 1300</w:t>
      </w:r>
    </w:p>
    <w:p>
      <w:pPr>
        <w:pStyle w:val="Normal"/>
        <w:rPr/>
      </w:pPr>
      <w:r>
        <w:rPr/>
        <w:t>Houston, Texas  77002</w:t>
      </w:r>
    </w:p>
    <w:p>
      <w:pPr>
        <w:pStyle w:val="Normal"/>
        <w:rPr/>
      </w:pPr>
      <w:r>
        <w:rPr/>
        <w:t>Attn:  Stephen P. Huzar</w:t>
      </w:r>
    </w:p>
    <w:p>
      <w:pPr>
        <w:pStyle w:val="Normal"/>
        <w:rPr/>
      </w:pPr>
      <w:r>
        <w:rPr/>
      </w:r>
    </w:p>
    <w:p>
      <w:pPr>
        <w:pStyle w:val="Normal"/>
        <w:rPr/>
      </w:pPr>
      <w:r>
        <w:rPr/>
        <w:t>The following representations, made to the best of our knowledge and belief as of the date of this letter, apply to EGP Fuels Company (the Company) and are submitted in connection with the EOTT Energy Partners, L.P. Current Report on Form 8-K/A to be filed with the Securities and Exchange Commission (Form 8-K/A).</w:t>
      </w:r>
    </w:p>
    <w:p>
      <w:pPr>
        <w:pStyle w:val="Normal"/>
        <w:rPr/>
      </w:pPr>
      <w:r>
        <w:rPr/>
      </w:r>
    </w:p>
    <w:p>
      <w:pPr>
        <w:pStyle w:val="HangIndent12"/>
        <w:ind w:start="720" w:end="0"/>
        <w:rPr/>
      </w:pPr>
      <w:r>
        <w:rPr/>
        <w:t>1.</w:t>
        <w:tab/>
        <w:t>No events have occurred subsequent to December 31, 2000, other than those disclosed in the Company’s financial statements, that have a material effect on the audited and the unaudited financial statements included in the Form 8-K/A or that should be disclosed in order to keep those financial statements from being misleading.</w:t>
      </w:r>
    </w:p>
    <w:p>
      <w:pPr>
        <w:pStyle w:val="HangIndent12"/>
        <w:ind w:start="720" w:end="0"/>
        <w:rPr/>
      </w:pPr>
      <w:r>
        <w:rPr/>
      </w:r>
    </w:p>
    <w:p>
      <w:pPr>
        <w:pStyle w:val="HangIndent12"/>
        <w:numPr>
          <w:ilvl w:val="0"/>
          <w:numId w:val="2"/>
        </w:numPr>
        <w:rPr/>
      </w:pPr>
      <w:r>
        <w:rPr/>
        <w:t xml:space="preserve">There are no unasserted claims or assessments that our lawyer has advised us are probable of assertion and must be disclosed in accordance with FASB Statement No. 5, </w:t>
      </w:r>
      <w:r>
        <w:rPr>
          <w:i/>
        </w:rPr>
        <w:t>Accounting for Contingencies</w:t>
      </w:r>
      <w:r>
        <w:rPr/>
        <w:t>.</w:t>
      </w:r>
    </w:p>
    <w:p>
      <w:pPr>
        <w:pStyle w:val="HangIndent12"/>
        <w:ind w:hanging="0" w:start="0" w:end="0"/>
        <w:rPr/>
      </w:pPr>
      <w:r>
        <w:rPr/>
      </w:r>
    </w:p>
    <w:p>
      <w:pPr>
        <w:pStyle w:val="HangIndent12"/>
        <w:numPr>
          <w:ilvl w:val="0"/>
          <w:numId w:val="2"/>
        </w:numPr>
        <w:rPr>
          <w:color w:val="000000"/>
        </w:rPr>
      </w:pPr>
      <w:r>
        <w:rPr/>
        <w:t xml:space="preserve">For 2000 and 2001 property tax purposes, the Company and the Harris County Appraisal District (HCAD) agreed administratively to a taxable value of the Company's MTBE processing facility </w:t>
      </w:r>
      <w:r>
        <w:rPr>
          <w:u w:val="single"/>
        </w:rPr>
        <w:t>of $27.6 million and $41.9 million, respectively</w:t>
      </w:r>
      <w:r>
        <w:rPr/>
        <w:t xml:space="preserve">.  The City of Morgan's Point (the City) filed a challenge suit against HCAD and the Company asserting that the valuation for 2000 and 2001 property tax purposes should be much higher.   </w:t>
      </w:r>
      <w:r>
        <w:rPr>
          <w:color w:val="000000"/>
          <w:u w:val="single"/>
        </w:rPr>
        <w:t>At this time the City has merely expressed an opinion that HCAD has understated the appraised value of the MTBE plant and has not provided a specific amount.  The only value presented by the City has been a hypothetical analysis, which states within the analysis, that the “analysis is in no way intended as an ‘expert witness’ type of analysis”.  The analysis contains three values based on the net present value of various assumptions:  $103.8 million, $119.8 million and $145.3 million.</w:t>
      </w:r>
      <w:r>
        <w:rPr>
          <w:color w:val="000000"/>
        </w:rPr>
        <w:t xml:space="preserve">  </w:t>
      </w:r>
      <w:r>
        <w:rPr/>
        <w:t xml:space="preserve">In light of all factors, including the transaction discussed in Note 10, HCAD has retained an outside engineering firm to estimate the MTBE processing facility's valuation.  </w:t>
      </w:r>
      <w:r>
        <w:rPr>
          <w:highlight w:val="yellow"/>
        </w:rPr>
        <w:t>In the event that the City of Morgan's Point prevails with respect to its challenge, the Company's tax liability would be increased by approximately $3.2 million per year.</w:t>
      </w:r>
      <w:r>
        <w:rPr/>
        <w:t xml:space="preserve">  While the Company believes it has strong arguments to support its position that the valuations for the MTBE processing facility administratively agreed to with HCAD for the 2000 and 2001 tax years were accurate and should not be raised, the Company cannot predict at this time the ultimate outcome of this matter.  No amounts have been accrued for this matter in the accompanying financial statements.</w:t>
      </w:r>
    </w:p>
    <w:p>
      <w:pPr>
        <w:pStyle w:val="HangIndent12"/>
        <w:numPr>
          <w:ilvl w:val="0"/>
          <w:numId w:val="2"/>
        </w:numPr>
        <w:rPr>
          <w:u w:val="single"/>
        </w:rPr>
      </w:pPr>
      <w:r>
        <w:rPr>
          <w:color w:val="000000"/>
        </w:rPr>
        <w:t xml:space="preserve">Aside from the impairment disclosed in the financial statements, no further indication, including consideration received for the recent sale of assets to EOTT </w:t>
      </w:r>
      <w:r>
        <w:rPr>
          <w:color w:val="000000"/>
          <w:u w:val="single"/>
        </w:rPr>
        <w:t>and the matter discussed in item 3 above</w:t>
      </w:r>
      <w:r>
        <w:rPr>
          <w:color w:val="000000"/>
        </w:rPr>
        <w:t xml:space="preserve">, exists that the Company’s fixed assets have been impaired.  </w:t>
      </w:r>
      <w:r>
        <w:rPr>
          <w:color w:val="000000"/>
          <w:u w:val="single"/>
        </w:rPr>
        <w:t>The Company believes the fair value of the assets sold to EOTT was at or above their book value at the date of the sale.</w:t>
      </w:r>
      <w:r>
        <w:rPr>
          <w:color w:val="000000"/>
        </w:rPr>
        <w:t xml:space="preserve">  Further, </w:t>
      </w:r>
      <w:r>
        <w:rPr/>
        <w:t xml:space="preserve">with regard to the impairment taken in 1999 and disclosed in the financial statements, </w:t>
      </w:r>
      <w:r>
        <w:rPr>
          <w:u w:val="single"/>
        </w:rPr>
        <w:t>the fair value of the plant and leasehold improvements (including leasehold improvements of the storage facilities) after the impairment was assessed at approximately $60.4 million.</w:t>
      </w:r>
    </w:p>
    <w:p>
      <w:pPr>
        <w:pStyle w:val="HangIndent12"/>
        <w:ind w:hanging="0" w:start="0" w:end="0"/>
        <w:rPr>
          <w:u w:val="single"/>
        </w:rPr>
      </w:pPr>
      <w:r>
        <w:rPr>
          <w:u w:val="single"/>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Pr>
    </w:p>
    <w:p>
      <w:pPr>
        <w:pStyle w:val="HangIndent12"/>
        <w:ind w:hanging="0" w:start="0" w:end="0"/>
        <w:rPr/>
      </w:pPr>
      <w:r>
        <w:rPr/>
      </w:r>
    </w:p>
    <w:p>
      <w:pPr>
        <w:pStyle w:val="HangIndent12"/>
        <w:ind w:hanging="0" w:start="0" w:end="0"/>
        <w:rPr/>
      </w:pPr>
      <w:r>
        <w:rPr/>
      </w:r>
    </w:p>
    <w:tbl>
      <w:tblPr>
        <w:tblW w:w="4320" w:type="dxa"/>
        <w:jc w:val="start"/>
        <w:tblInd w:w="648" w:type="dxa"/>
        <w:tblLayout w:type="fixed"/>
        <w:tblCellMar>
          <w:top w:w="0" w:type="dxa"/>
          <w:start w:w="108" w:type="dxa"/>
          <w:bottom w:w="0" w:type="dxa"/>
          <w:end w:w="108" w:type="dxa"/>
        </w:tblCellMar>
      </w:tblPr>
      <w:tblGrid>
        <w:gridCol w:w="4320"/>
      </w:tblGrid>
      <w:tr>
        <w:trPr/>
        <w:tc>
          <w:tcPr>
            <w:tcW w:w="4320" w:type="dxa"/>
            <w:tcBorders/>
          </w:tcPr>
          <w:p>
            <w:pPr>
              <w:pStyle w:val="Normal"/>
              <w:tabs>
                <w:tab w:val="clear" w:pos="720"/>
                <w:tab w:val="left" w:pos="1620" w:leader="none"/>
                <w:tab w:val="left" w:pos="1980" w:leader="none"/>
                <w:tab w:val="left" w:pos="7110" w:leader="none"/>
              </w:tabs>
              <w:snapToGrid w:val="false"/>
              <w:spacing w:lineRule="atLeast" w:line="240"/>
              <w:rPr>
                <w:color w:val="000000"/>
              </w:rPr>
            </w:pPr>
            <w:r>
              <w:rPr>
                <w:color w:val="000000"/>
              </w:rPr>
            </w:r>
          </w:p>
        </w:tc>
      </w:tr>
      <w:tr>
        <w:trPr/>
        <w:tc>
          <w:tcPr>
            <w:tcW w:w="4320" w:type="dxa"/>
            <w:tcBorders>
              <w:bottom w:val="single" w:sz="4" w:space="0" w:color="000000"/>
            </w:tcBorders>
          </w:tcPr>
          <w:p>
            <w:pPr>
              <w:pStyle w:val="Normal"/>
              <w:tabs>
                <w:tab w:val="clear" w:pos="720"/>
                <w:tab w:val="left" w:pos="1620" w:leader="none"/>
                <w:tab w:val="left" w:pos="1980" w:leader="none"/>
                <w:tab w:val="left" w:pos="7110" w:leader="none"/>
              </w:tabs>
              <w:snapToGrid w:val="false"/>
              <w:spacing w:lineRule="atLeast" w:line="240"/>
              <w:rPr>
                <w:color w:val="000000"/>
              </w:rPr>
            </w:pPr>
            <w:r>
              <w:rPr>
                <w:color w:val="000000"/>
              </w:rPr>
            </w:r>
          </w:p>
        </w:tc>
      </w:tr>
    </w:tbl>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Richard A. Causey</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Executive Vice President and Chief</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Accounting Officer</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Enron Corp.</w:t>
      </w:r>
    </w:p>
    <w:p>
      <w:pPr>
        <w:pStyle w:val="Normal"/>
        <w:tabs>
          <w:tab w:val="clear" w:pos="720"/>
          <w:tab w:val="left" w:pos="450" w:leader="none"/>
          <w:tab w:val="left" w:pos="540" w:leader="none"/>
          <w:tab w:val="left" w:pos="1620" w:leader="none"/>
          <w:tab w:val="left" w:pos="1980" w:leader="none"/>
          <w:tab w:val="left" w:pos="7110" w:leader="none"/>
        </w:tabs>
        <w:spacing w:lineRule="atLeast" w:line="240"/>
        <w:rPr>
          <w:color w:val="000000"/>
        </w:rPr>
      </w:pPr>
      <w:r>
        <w:rPr>
          <w:color w:val="000000"/>
        </w:rPr>
      </w:r>
    </w:p>
    <w:tbl>
      <w:tblPr>
        <w:tblW w:w="4320" w:type="dxa"/>
        <w:jc w:val="start"/>
        <w:tblInd w:w="648" w:type="dxa"/>
        <w:tblLayout w:type="fixed"/>
        <w:tblCellMar>
          <w:top w:w="0" w:type="dxa"/>
          <w:start w:w="108" w:type="dxa"/>
          <w:bottom w:w="0" w:type="dxa"/>
          <w:end w:w="108" w:type="dxa"/>
        </w:tblCellMar>
      </w:tblPr>
      <w:tblGrid>
        <w:gridCol w:w="4320"/>
      </w:tblGrid>
      <w:tr>
        <w:trPr/>
        <w:tc>
          <w:tcPr>
            <w:tcW w:w="4320" w:type="dxa"/>
            <w:tcBorders>
              <w:bottom w:val="single" w:sz="4" w:space="0" w:color="000000"/>
            </w:tcBorders>
          </w:tcPr>
          <w:p>
            <w:pPr>
              <w:pStyle w:val="Normal"/>
              <w:tabs>
                <w:tab w:val="clear" w:pos="720"/>
                <w:tab w:val="left" w:pos="1620" w:leader="none"/>
                <w:tab w:val="left" w:pos="1980" w:leader="none"/>
                <w:tab w:val="left" w:pos="7110" w:leader="none"/>
              </w:tabs>
              <w:snapToGrid w:val="false"/>
              <w:spacing w:lineRule="atLeast" w:line="240"/>
              <w:rPr>
                <w:color w:val="000000"/>
              </w:rPr>
            </w:pPr>
            <w:r>
              <w:rPr>
                <w:color w:val="000000"/>
              </w:rPr>
            </w:r>
          </w:p>
        </w:tc>
      </w:tr>
    </w:tbl>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James M. Saunders</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Vice President</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Enron Transportation Services</w:t>
      </w:r>
    </w:p>
    <w:p>
      <w:pPr>
        <w:pStyle w:val="Normal"/>
        <w:tabs>
          <w:tab w:val="clear" w:pos="720"/>
          <w:tab w:val="left" w:pos="450" w:leader="none"/>
          <w:tab w:val="left" w:pos="540" w:leader="none"/>
          <w:tab w:val="left" w:pos="1620" w:leader="none"/>
          <w:tab w:val="left" w:pos="1980" w:leader="none"/>
          <w:tab w:val="left" w:pos="7110" w:leader="none"/>
        </w:tabs>
        <w:spacing w:lineRule="atLeast" w:line="240"/>
        <w:rPr>
          <w:color w:val="000000"/>
        </w:rPr>
      </w:pPr>
      <w:r>
        <w:rPr>
          <w:color w:val="000000"/>
        </w:rPr>
      </w:r>
    </w:p>
    <w:p>
      <w:pPr>
        <w:pStyle w:val="Normal"/>
        <w:tabs>
          <w:tab w:val="clear" w:pos="720"/>
          <w:tab w:val="left" w:pos="450" w:leader="none"/>
          <w:tab w:val="left" w:pos="540" w:leader="none"/>
          <w:tab w:val="left" w:pos="1620" w:leader="none"/>
          <w:tab w:val="left" w:pos="1980" w:leader="none"/>
          <w:tab w:val="left" w:pos="7110" w:leader="none"/>
        </w:tabs>
        <w:spacing w:lineRule="atLeast" w:line="240"/>
        <w:rPr>
          <w:color w:val="000000"/>
        </w:rPr>
      </w:pPr>
      <w:r>
        <w:rPr>
          <w:color w:val="000000"/>
        </w:rPr>
      </w:r>
    </w:p>
    <w:tbl>
      <w:tblPr>
        <w:tblW w:w="4320" w:type="dxa"/>
        <w:jc w:val="start"/>
        <w:tblInd w:w="648" w:type="dxa"/>
        <w:tblLayout w:type="fixed"/>
        <w:tblCellMar>
          <w:top w:w="0" w:type="dxa"/>
          <w:start w:w="108" w:type="dxa"/>
          <w:bottom w:w="0" w:type="dxa"/>
          <w:end w:w="108" w:type="dxa"/>
        </w:tblCellMar>
      </w:tblPr>
      <w:tblGrid>
        <w:gridCol w:w="4320"/>
      </w:tblGrid>
      <w:tr>
        <w:trPr/>
        <w:tc>
          <w:tcPr>
            <w:tcW w:w="4320" w:type="dxa"/>
            <w:tcBorders>
              <w:bottom w:val="single" w:sz="4" w:space="0" w:color="000000"/>
            </w:tcBorders>
          </w:tcPr>
          <w:p>
            <w:pPr>
              <w:pStyle w:val="Normal"/>
              <w:tabs>
                <w:tab w:val="clear" w:pos="720"/>
                <w:tab w:val="left" w:pos="1620" w:leader="none"/>
                <w:tab w:val="left" w:pos="1980" w:leader="none"/>
                <w:tab w:val="left" w:pos="7110" w:leader="none"/>
              </w:tabs>
              <w:snapToGrid w:val="false"/>
              <w:spacing w:lineRule="atLeast" w:line="240"/>
              <w:rPr>
                <w:color w:val="000000"/>
              </w:rPr>
            </w:pPr>
            <w:r>
              <w:rPr>
                <w:color w:val="000000"/>
              </w:rPr>
            </w:r>
          </w:p>
        </w:tc>
      </w:tr>
    </w:tbl>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Roderick J. Hayslett</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Senior Vice President and</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Treasurer</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Enron Transportation Services</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r>
    </w:p>
    <w:tbl>
      <w:tblPr>
        <w:tblW w:w="4320" w:type="dxa"/>
        <w:jc w:val="start"/>
        <w:tblInd w:w="648" w:type="dxa"/>
        <w:tblLayout w:type="fixed"/>
        <w:tblCellMar>
          <w:top w:w="0" w:type="dxa"/>
          <w:start w:w="108" w:type="dxa"/>
          <w:bottom w:w="0" w:type="dxa"/>
          <w:end w:w="108" w:type="dxa"/>
        </w:tblCellMar>
      </w:tblPr>
      <w:tblGrid>
        <w:gridCol w:w="4320"/>
      </w:tblGrid>
      <w:tr>
        <w:trPr/>
        <w:tc>
          <w:tcPr>
            <w:tcW w:w="4320" w:type="dxa"/>
            <w:tcBorders>
              <w:bottom w:val="single" w:sz="4" w:space="0" w:color="000000"/>
            </w:tcBorders>
          </w:tcPr>
          <w:p>
            <w:pPr>
              <w:pStyle w:val="Normal"/>
              <w:tabs>
                <w:tab w:val="clear" w:pos="720"/>
                <w:tab w:val="left" w:pos="1620" w:leader="none"/>
                <w:tab w:val="left" w:pos="1980" w:leader="none"/>
                <w:tab w:val="left" w:pos="7110" w:leader="none"/>
              </w:tabs>
              <w:snapToGrid w:val="false"/>
              <w:spacing w:lineRule="atLeast" w:line="240"/>
              <w:rPr>
                <w:color w:val="000000"/>
              </w:rPr>
            </w:pPr>
            <w:r>
              <w:rPr>
                <w:color w:val="000000"/>
              </w:rPr>
            </w:r>
          </w:p>
        </w:tc>
      </w:tr>
    </w:tbl>
    <w:p>
      <w:pPr>
        <w:pStyle w:val="Normal"/>
        <w:tabs>
          <w:tab w:val="clear" w:pos="720"/>
          <w:tab w:val="left" w:pos="1620" w:leader="none"/>
          <w:tab w:val="left" w:pos="1980" w:leader="none"/>
          <w:tab w:val="left" w:pos="7110" w:leader="none"/>
        </w:tabs>
        <w:spacing w:lineRule="atLeast" w:line="240"/>
        <w:ind w:firstLine="540" w:end="0"/>
        <w:rPr>
          <w:color w:val="000000"/>
        </w:rPr>
      </w:pPr>
      <w:r>
        <w:rPr/>
        <w:t>Louis P. Soldano</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General Counsel</w:t>
      </w:r>
    </w:p>
    <w:p>
      <w:pPr>
        <w:pStyle w:val="Normal"/>
        <w:tabs>
          <w:tab w:val="clear" w:pos="720"/>
          <w:tab w:val="left" w:pos="1620" w:leader="none"/>
          <w:tab w:val="left" w:pos="1980" w:leader="none"/>
          <w:tab w:val="left" w:pos="7110" w:leader="none"/>
        </w:tabs>
        <w:spacing w:lineRule="atLeast" w:line="240"/>
        <w:ind w:firstLine="540" w:end="0"/>
        <w:rPr>
          <w:color w:val="000000"/>
        </w:rPr>
      </w:pPr>
      <w:r>
        <w:rPr>
          <w:color w:val="000000"/>
        </w:rPr>
        <w:t>Enron Transportation Services</w:t>
      </w:r>
    </w:p>
    <w:p>
      <w:pPr>
        <w:pStyle w:val="Normal"/>
        <w:tabs>
          <w:tab w:val="clear" w:pos="720"/>
          <w:tab w:val="left" w:pos="1620" w:leader="none"/>
          <w:tab w:val="left" w:pos="1980" w:leader="none"/>
          <w:tab w:val="left" w:pos="7110" w:leader="none"/>
        </w:tabs>
        <w:spacing w:lineRule="atLeast" w:line="240"/>
        <w:ind w:firstLine="540" w:end="0"/>
        <w:rPr/>
      </w:pPr>
      <w:r>
        <w:rPr/>
        <w:t>(with respect to item 2 and 3)</w:t>
      </w:r>
    </w:p>
    <w:p>
      <w:pPr>
        <w:pStyle w:val="HangIndent12"/>
        <w:ind w:start="720" w:end="0"/>
        <w:rPr/>
      </w:pPr>
      <w:r>
        <w:rPr/>
      </w:r>
    </w:p>
    <w:p>
      <w:pPr>
        <w:pStyle w:val="HangIndent12"/>
        <w:ind w:hanging="0" w:start="0" w:end="0"/>
        <w:rPr/>
      </w:pPr>
      <w:r>
        <w:rPr/>
      </w:r>
    </w:p>
    <w:sectPr>
      <w:type w:val="continuous"/>
      <w:pgSz w:w="12240" w:h="15840"/>
      <w:pgMar w:left="1800" w:right="1800" w:gutter="0" w:header="0" w:top="1440" w:footer="720" w:bottom="1440"/>
      <w:cols w:num="2" w:space="18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Pica">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Pica" w:hAnsi="Pica" w:cs="Pica"/>
        <w:sz w:val="24"/>
      </w:rPr>
    </w:pPr>
    <w:r>
      <w:rPr>
        <w:rFonts w:cs="Pica" w:ascii="Pica" w:hAnsi="Pica"/>
        <w:sz w:val="24"/>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13.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angIndent12">
    <w:name w:val="HangIndent 1/2"/>
    <w:basedOn w:val="Normal"/>
    <w:qFormat/>
    <w:pPr>
      <w:ind w:hanging="720" w:start="1440" w:end="0"/>
    </w:pPr>
    <w:rPr/>
  </w:style>
  <w:style w:type="paragraph" w:styleId="HagnIndent0">
    <w:name w:val="HagnIndent 0"/>
    <w:basedOn w:val="Normal"/>
    <w:qFormat/>
    <w:pPr>
      <w:ind w:hanging="720" w:start="720" w:end="0"/>
    </w:pPr>
    <w:rPr/>
  </w:style>
  <w:style w:type="paragraph" w:styleId="HangIndent0">
    <w:name w:val="HangIndent 0"/>
    <w:basedOn w:val="Normal"/>
    <w:qFormat/>
    <w:pPr>
      <w:ind w:hanging="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2001-11-01T14:58:00Z</dcterms:created>
  <dc:creator>Arthur Andersen</dc:creator>
  <dc:description/>
  <dc:language>en-CA</dc:language>
  <cp:lastModifiedBy>Arthur Andersen</cp:lastModifiedBy>
  <cp:lastPrinted>2001-11-01T12:26:00Z</cp:lastPrinted>
  <dcterms:modified xsi:type="dcterms:W3CDTF">2001-11-01T15:56:00Z</dcterms:modified>
  <cp:revision>8</cp:revision>
  <dc:subject>Research Manager</dc:subject>
  <dc:title>RL-15:  U.S. Representation for Postaudit Review</dc:title>
</cp:coreProperties>
</file>