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 xml:space="preserve">Mexico </w:t>
      </w:r>
    </w:p>
    <w:p>
      <w:pPr>
        <w:pStyle w:val="Heading5"/>
        <w:ind w:hanging="0" w:start="0"/>
        <w:rPr/>
      </w:pPr>
      <w:r>
        <w:rPr/>
        <w:t>Priorities for this year 03/09/2000</w:t>
      </w:r>
    </w:p>
    <w:p>
      <w:pPr>
        <w:pStyle w:val="Normal"/>
        <w:rPr/>
      </w:pPr>
      <w:r>
        <w:rPr/>
      </w:r>
    </w:p>
    <w:p>
      <w:pPr>
        <w:pStyle w:val="84exhsubtitle"/>
        <w:spacing w:before="0" w:after="180"/>
        <w:rPr>
          <w:rFonts w:ascii="Palatino;Times New Roman" w:hAnsi="Palatino;Times New Roman" w:cs="Palatino;Times New Roman"/>
        </w:rPr>
      </w:pPr>
      <w:r>
        <w:rPr>
          <w:rFonts w:cs="Palatino;Times New Roman" w:ascii="Palatino;Times New Roman" w:hAnsi="Palatino;Times New Roman"/>
        </w:rPr>
        <w:t>1. Continue to influence the deregulation process of the electric industry</w:t>
      </w:r>
    </w:p>
    <w:p>
      <w:pPr>
        <w:pStyle w:val="Normal"/>
        <w:rPr/>
      </w:pPr>
      <w:r>
        <w:rPr/>
        <w:t>In general terms, we should continue to advocate for the deregulation of Mexico’s electric industry.  We are currently carrying out this mandate by having discussions and offering information and evidence to policy makers, members of Congress, public opinion leaders, industry participants, and private sector leaders.</w:t>
      </w:r>
    </w:p>
    <w:p>
      <w:pPr>
        <w:pStyle w:val="Normal"/>
        <w:rPr/>
      </w:pPr>
      <w:r>
        <w:rPr/>
        <w:t>With the policy makers, up to now, we have achieved a change in the initial proposal which will now include the possibility of having full bilateral markets, private investment in transmission, possibly distribution concessions and further down the road the sale of existing assets.  We still have to convince them of the necessity of separating the ISO from the PX and of governance issues within these entities.</w:t>
      </w:r>
    </w:p>
    <w:p>
      <w:pPr>
        <w:pStyle w:val="Normal"/>
        <w:rPr/>
      </w:pPr>
      <w:r>
        <w:rPr/>
        <w:t>We have to ensure that the PAN opposition party stays on track and refine the proposal that we initially helped them draft.</w:t>
      </w:r>
    </w:p>
    <w:p>
      <w:pPr>
        <w:pStyle w:val="Normal"/>
        <w:rPr/>
      </w:pPr>
      <w:r>
        <w:rPr/>
        <w:t>We have to continue to be the main source of information and evidence for the private sector leaders and strengthen our position with other public opinion leaders.</w:t>
      </w:r>
    </w:p>
    <w:p>
      <w:pPr>
        <w:pStyle w:val="Normal"/>
        <w:rPr/>
      </w:pPr>
      <w:r>
        <w:rPr/>
        <w:t>We have to continue to be the leading voice within the Mexican Association of Electric Energy with respect to the proposals that come out of it regarding market structure and deregulation.  Many of our competitors participate in this association where we hold the vice presidency for market structure and deregulation.</w:t>
      </w:r>
    </w:p>
    <w:p>
      <w:pPr>
        <w:pStyle w:val="Normal"/>
        <w:rPr/>
      </w:pPr>
      <w:r>
        <w:rPr/>
        <w:t>Specifically, we have to continue to push for a change in the way CFE acquires energy fromself use producers and IPPs.  We are aiming at eliminating the excess capacity cap of 20MW and changing the price structure from 85% of variable cost to a price structure that is closer to “market”.</w:t>
      </w:r>
    </w:p>
    <w:p>
      <w:pPr>
        <w:pStyle w:val="Normal"/>
        <w:rPr/>
      </w:pPr>
      <w:r>
        <w:rPr/>
        <w:t>We are also promoting changes (and have achieved many) with respect to the flexibility of the bidding rules for CFE trying to move away from IPPs towards the bidding of PPAs.  We are almost there.</w:t>
      </w:r>
    </w:p>
    <w:p>
      <w:pPr>
        <w:pStyle w:val="Normal"/>
        <w:rPr/>
      </w:pPr>
      <w:r>
        <w:rPr/>
        <w:t>We are working to overturn a decision by Congress regarding electric asset depreciation.  Before this decision assets could be depreciated in 10 years, starting this year they should be depreciated in 20 years.  The approximate net present value of this issue is of 5.5 to 7 million dollars per each 100million invested depending on the discount rate (12 or 15%).</w:t>
      </w:r>
    </w:p>
    <w:p>
      <w:pPr>
        <w:pStyle w:val="Normal"/>
        <w:rPr/>
      </w:pPr>
      <w:r>
        <w:rPr/>
        <w:t>Assess regulatory risk for ongoing projects.</w:t>
      </w:r>
    </w:p>
    <w:p>
      <w:pPr>
        <w:pStyle w:val="Normal"/>
        <w:rPr>
          <w:b/>
        </w:rPr>
      </w:pPr>
      <w:r>
        <w:rPr>
          <w:b/>
        </w:rPr>
        <w:t>2. Continue to influence the deregulation process of the natural gas industry</w:t>
      </w:r>
    </w:p>
    <w:p>
      <w:pPr>
        <w:pStyle w:val="Normal"/>
        <w:rPr/>
      </w:pPr>
      <w:r>
        <w:rPr/>
        <w:t>We successfully promoted a rule that prohibits PEMEX from having an unregulated marketing affiliate. Now we have to ensure that these rules are enforceable and enforced.  This will take time and patience but we have to constantly work on this subject.</w:t>
      </w:r>
    </w:p>
    <w:p>
      <w:pPr>
        <w:pStyle w:val="Normal"/>
        <w:rPr/>
      </w:pPr>
      <w:r>
        <w:rPr/>
        <w:t>We should continue to promote the real unbundling of the industry.  We worked together with the regulator in the First Hand Sales of Gas Directive and many of our recommendations were taken into account.  We still have to push for conditions that make a natural gas market possible.</w:t>
      </w:r>
    </w:p>
    <w:p>
      <w:pPr>
        <w:pStyle w:val="Normal"/>
        <w:rPr/>
      </w:pPr>
      <w:r>
        <w:rPr/>
        <w:t xml:space="preserve">We have to start working immediately on the general terms and conditions of the first hand sales of gas with the regulators.  They promised they would invite us to this discussions.  </w:t>
      </w:r>
    </w:p>
    <w:p>
      <w:pPr>
        <w:pStyle w:val="Normal"/>
        <w:rPr/>
      </w:pPr>
      <w:r>
        <w:rPr/>
        <w:t>We have to continue to promote (so far we have had no success) important changes in the 1996 Natural Gas Pricing Directive in order to lower barriers of entry imposed by PEMEX due to inefficient pricing formulas.</w:t>
      </w:r>
    </w:p>
    <w:p>
      <w:pPr>
        <w:pStyle w:val="Normal"/>
        <w:rPr>
          <w:b/>
        </w:rPr>
      </w:pPr>
      <w:r>
        <w:rPr>
          <w:b/>
        </w:rPr>
        <w:t>3. Find business opportunities for Enron within the existing regulatory framework</w:t>
      </w:r>
    </w:p>
    <w:p>
      <w:pPr>
        <w:pStyle w:val="Normal"/>
        <w:rPr/>
      </w:pPr>
      <w:r>
        <w:rPr/>
        <w:t>Continue to explore energy export opportunities from Baja to California.  We have explored a gas fired thermoelectric plant and an ocean water pump storage peaker.  They both have the common problem of needing capacity payments.  Currently the California ISO will not make this payments.  I will contact Sue Mara with this issue.</w:t>
      </w:r>
    </w:p>
    <w:p>
      <w:pPr>
        <w:pStyle w:val="Normal"/>
        <w:rPr/>
      </w:pPr>
      <w:r>
        <w:rPr/>
        <w:t>Continue to support HydroMod and ENA in hydro project possibilities.</w:t>
      </w:r>
    </w:p>
    <w:p>
      <w:pPr>
        <w:pStyle w:val="Normal"/>
        <w:rPr/>
      </w:pPr>
      <w:r>
        <w:rPr/>
        <w:t>Continue to support EBS.</w:t>
      </w:r>
    </w:p>
    <w:p>
      <w:pPr>
        <w:pStyle w:val="Normal"/>
        <w:rPr/>
      </w:pPr>
      <w:r>
        <w:rPr/>
        <w:t>Continue to support ENA’s risk management business in Mexico,  specifically in weather derivatives for State Governments. (Currently working with the State of Puebla)</w:t>
      </w:r>
    </w:p>
    <w:p>
      <w:pPr>
        <w:pStyle w:val="40address"/>
        <w:spacing w:before="0" w:after="180"/>
        <w:rPr/>
      </w:pPr>
      <w:r>
        <w:rPr/>
      </w:r>
    </w:p>
    <w:sectPr>
      <w:type w:val="nextPage"/>
      <w:pgSz w:w="11906" w:h="16838"/>
      <w:pgMar w:left="2013" w:right="1253" w:gutter="0" w:header="0" w:top="1440" w:footer="0" w:bottom="207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Times New Roman"/>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Times New Roman" w:hAnsi="Palatino;Times New Roman" w:cs="Palatino;Times New Roman"/>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1973"/>
        </w:tabs>
        <w:ind w:start="1872" w:hanging="259"/>
      </w:pPr>
      <w:rPr>
        <w:rFonts w:ascii="Palatino" w:hAnsi="Palatino" w:cs="Palatino" w:hint="default"/>
      </w:rPr>
    </w:lvl>
  </w:abstractNum>
  <w:abstractNum w:abstractNumId="8">
    <w:lvl w:ilvl="0">
      <w:start w:val="1"/>
      <w:numFmt w:val="bullet"/>
      <w:lvlText w:val="–"/>
      <w:lvlJc w:val="start"/>
      <w:pPr>
        <w:tabs>
          <w:tab w:val="num" w:pos="648"/>
        </w:tabs>
        <w:ind w:start="605" w:hanging="317"/>
      </w:pPr>
      <w:rPr>
        <w:rFonts w:ascii="Palatino" w:hAnsi="Palatino" w:cs="Palatino" w:hint="default"/>
      </w:rPr>
    </w:lvl>
  </w:abstractNum>
  <w:abstractNum w:abstractNumId="9">
    <w:lvl w:ilvl="0">
      <w:start w:val="1"/>
      <w:numFmt w:val="none"/>
      <w:suff w:val="nothing"/>
      <w:lvlText w:val=".."/>
      <w:lvlJc w:val="start"/>
      <w:pPr>
        <w:tabs>
          <w:tab w:val="num" w:pos="259"/>
        </w:tabs>
        <w:ind w:start="0" w:hanging="0"/>
      </w:pPr>
      <w:rPr>
        <w:i w:val="false"/>
        <w:b w:val="false"/>
        <w:rFonts w:ascii="Palatino;Times New Roman" w:hAnsi="Palatino;Times New Roman" w:cs="Palatino;Times New Roman"/>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965"/>
        </w:tabs>
        <w:ind w:start="936" w:hanging="331"/>
      </w:pPr>
      <w:rPr>
        <w:rFonts w:ascii="Palatino" w:hAnsi="Palatino" w:cs="Palatino"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1051"/>
        </w:tabs>
        <w:ind w:start="979" w:hanging="288"/>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88"/>
        </w:tabs>
        <w:ind w:start="979" w:hanging="288"/>
      </w:pPr>
      <w:rPr>
        <w:rFonts w:ascii="Palatino" w:hAnsi="Palatino" w:cs="Palatino"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PageSize" w:val="9"/>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Times New Roman" w:hAnsi="Palatino;Times New Roman" w:eastAsia="Times New Roman" w:cs="Palatino;Times New Roman"/>
      <w:color w:val="auto"/>
      <w:sz w:val="24"/>
      <w:szCs w:val="20"/>
      <w:lang w:val="en-US" w:eastAsia="zh-CN" w:bidi="hi-I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paragraph" w:styleId="Heading4">
    <w:name w:val="heading 4"/>
    <w:basedOn w:val="Normal"/>
    <w:next w:val="Normal"/>
    <w:qFormat/>
    <w:pPr>
      <w:keepNext w:val="true"/>
      <w:numPr>
        <w:ilvl w:val="3"/>
        <w:numId w:val="1"/>
      </w:numPr>
      <w:outlineLvl w:val="3"/>
    </w:pPr>
    <w:rPr>
      <w:sz w:val="44"/>
    </w:rPr>
  </w:style>
  <w:style w:type="paragraph" w:styleId="Heading5">
    <w:name w:val="heading 5"/>
    <w:basedOn w:val="Normal"/>
    <w:next w:val="Normal"/>
    <w:qFormat/>
    <w:pPr>
      <w:keepNext w:val="true"/>
      <w:numPr>
        <w:ilvl w:val="4"/>
        <w:numId w:val="1"/>
      </w:numPr>
      <w:outlineLvl w:val="4"/>
    </w:pPr>
    <w:rPr>
      <w:b/>
      <w:i/>
    </w:rPr>
  </w:style>
  <w:style w:type="character" w:styleId="WW8Num2z0">
    <w:name w:val="WW8Num2z0"/>
    <w:qFormat/>
    <w:rPr>
      <w:rFonts w:ascii="Palatino;Times New Roman" w:hAnsi="Palatino;Times New Roman" w:cs="Palatino;Times New Roman"/>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Palatino;Times New Roman" w:hAnsi="Palatino;Times New Roman" w:cs="Palatino;Times New Roman"/>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rPr>
  </w:style>
  <w:style w:type="character" w:styleId="WW8Num17z0">
    <w:name w:val="WW8Num17z0"/>
    <w:qFormat/>
    <w:rPr>
      <w:rFonts w:ascii="Palatino;Times New Roman" w:hAnsi="Palatino;Times New Roman" w:cs="Palatino;Times New Roman"/>
    </w:rPr>
  </w:style>
  <w:style w:type="character" w:styleId="WW8Num18z0">
    <w:name w:val="WW8Num18z0"/>
    <w:qFormat/>
    <w:rPr>
      <w:rFonts w:ascii="Times" w:hAnsi="Times" w:cs="Times"/>
      <w:b w:val="false"/>
      <w:i w:val="false"/>
      <w:sz w:val="24"/>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Palatino;Times New Roman" w:hAnsi="Palatino;Times New Roman" w:cs="Palatino;Times New Roman"/>
    </w:rPr>
  </w:style>
  <w:style w:type="character" w:styleId="WW8Num22z0">
    <w:name w:val="WW8Num22z0"/>
    <w:qFormat/>
    <w:rPr>
      <w:rFonts w:ascii="Times" w:hAnsi="Times" w:cs="Times"/>
      <w:b w:val="false"/>
      <w:i w:val="false"/>
      <w:sz w:val="24"/>
    </w:rPr>
  </w:style>
  <w:style w:type="character" w:styleId="WW8Num23z0">
    <w:name w:val="WW8Num23z0"/>
    <w:qFormat/>
    <w:rPr>
      <w:rFonts w:ascii="Palatino;Times New Roman" w:hAnsi="Palatino;Times New Roman" w:cs="Palatino;Times New Roman"/>
    </w:rPr>
  </w:style>
  <w:style w:type="character" w:styleId="WW8Num27z0">
    <w:name w:val="WW8Num27z0"/>
    <w:qFormat/>
    <w:rPr>
      <w:rFonts w:ascii="Palatino;Times New Roman" w:hAnsi="Palatino;Times New Roman" w:cs="Palatino;Times New Roman"/>
    </w:rPr>
  </w:style>
  <w:style w:type="character" w:styleId="WW8Num28z0">
    <w:name w:val="WW8Num28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Times" w:hAnsi="Times" w:cs="Times"/>
      <w:b w:val="false"/>
      <w:i w:val="false"/>
      <w:sz w:val="24"/>
    </w:rPr>
  </w:style>
  <w:style w:type="character" w:styleId="WW8Num34z0">
    <w:name w:val="WW8Num34z0"/>
    <w:qFormat/>
    <w:rPr>
      <w:rFonts w:ascii="Times New Roman" w:hAnsi="Times New Roman" w:cs="Times New Roman"/>
    </w:rPr>
  </w:style>
  <w:style w:type="character" w:styleId="WW8Num35z0">
    <w:name w:val="WW8Num35z0"/>
    <w:qFormat/>
    <w:rPr>
      <w:rFonts w:ascii="Wingdings" w:hAnsi="Wingdings" w:cs="Wingdings"/>
    </w:rPr>
  </w:style>
  <w:style w:type="character" w:styleId="WW8Num36z0">
    <w:name w:val="WW8Num36z0"/>
    <w:qFormat/>
    <w:rPr>
      <w:rFonts w:ascii="Palatino;Times New Roman" w:hAnsi="Palatino;Times New Roman" w:cs="Palatino;Times New Roman"/>
      <w:b w:val="false"/>
      <w:i w:val="false"/>
    </w:rPr>
  </w:style>
  <w:style w:type="character" w:styleId="WW8Num41z0">
    <w:name w:val="WW8Num41z0"/>
    <w:qFormat/>
    <w:rPr>
      <w:rFonts w:ascii="Wingdings" w:hAnsi="Wingdings" w:cs="Wingdings"/>
    </w:rPr>
  </w:style>
  <w:style w:type="character" w:styleId="WW8Num42z0">
    <w:name w:val="WW8Num42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7z0">
    <w:name w:val="WW8Num47z0"/>
    <w:qFormat/>
    <w:rPr>
      <w:rFonts w:ascii="Palatino;Times New Roman" w:hAnsi="Palatino;Times New Roman" w:cs="Palatino;Times New Roman"/>
    </w:rPr>
  </w:style>
  <w:style w:type="character" w:styleId="WW8Num48z0">
    <w:name w:val="WW8Num48z0"/>
    <w:qFormat/>
    <w:rPr>
      <w:rFonts w:ascii="Times" w:hAnsi="Times" w:cs="Times"/>
      <w:b w:val="false"/>
      <w:i w:val="false"/>
      <w:sz w:val="24"/>
    </w:rPr>
  </w:style>
  <w:style w:type="character" w:styleId="WW8Num49z0">
    <w:name w:val="WW8Num49z0"/>
    <w:qFormat/>
    <w:rPr>
      <w:rFonts w:ascii="Palatino;Times New Roman" w:hAnsi="Palatino;Times New Roman" w:cs="Palatino;Times New Roman"/>
    </w:rPr>
  </w:style>
  <w:style w:type="character" w:styleId="WW8Num50z0">
    <w:name w:val="WW8Num50z0"/>
    <w:qFormat/>
    <w:rPr>
      <w:rFonts w:ascii="Palatino;Times New Roman" w:hAnsi="Palatino;Times New Roman" w:cs="Palatino;Times New Roman"/>
    </w:rPr>
  </w:style>
  <w:style w:type="character" w:styleId="WW8Num53z0">
    <w:name w:val="WW8Num53z0"/>
    <w:qFormat/>
    <w:rPr>
      <w:rFonts w:ascii="Times" w:hAnsi="Times" w:cs="Times"/>
      <w:b w:val="false"/>
      <w:i w:val="false"/>
      <w:sz w:val="24"/>
    </w:rPr>
  </w:style>
  <w:style w:type="character" w:styleId="WW8Num55z0">
    <w:name w:val="WW8Num55z0"/>
    <w:qFormat/>
    <w:rPr>
      <w:rFonts w:ascii="Times" w:hAnsi="Times" w:cs="Times"/>
      <w:b w:val="false"/>
      <w:i w:val="false"/>
      <w:sz w:val="24"/>
    </w:rPr>
  </w:style>
  <w:style w:type="character" w:styleId="WW8Num57z0">
    <w:name w:val="WW8Num57z0"/>
    <w:qFormat/>
    <w:rPr>
      <w:rFonts w:ascii="Times" w:hAnsi="Times" w:cs="Times"/>
      <w:b w:val="false"/>
      <w:i w:val="false"/>
      <w:sz w:val="24"/>
    </w:rPr>
  </w:style>
  <w:style w:type="character" w:styleId="WW8Num58z0">
    <w:name w:val="WW8Num58z0"/>
    <w:qFormat/>
    <w:rPr>
      <w:rFonts w:ascii="Times" w:hAnsi="Times" w:cs="Times"/>
      <w:b w:val="false"/>
      <w:i w:val="false"/>
      <w:sz w:val="24"/>
    </w:rPr>
  </w:style>
  <w:style w:type="character" w:styleId="WW8Num59z0">
    <w:name w:val="WW8Num59z0"/>
    <w:qFormat/>
    <w:rPr>
      <w:rFonts w:ascii="Times" w:hAnsi="Times" w:cs="Times"/>
      <w:b w:val="false"/>
      <w:i w:val="false"/>
      <w:sz w:val="24"/>
    </w:rPr>
  </w:style>
  <w:style w:type="character" w:styleId="WW8Num60z0">
    <w:name w:val="WW8Num60z0"/>
    <w:qFormat/>
    <w:rPr>
      <w:rFonts w:ascii="Palatino;Times New Roman" w:hAnsi="Palatino;Times New Roman" w:cs="Palatino;Times New Roman"/>
    </w:rPr>
  </w:style>
  <w:style w:type="character" w:styleId="WW8Num61z0">
    <w:name w:val="WW8Num61z0"/>
    <w:qFormat/>
    <w:rPr>
      <w:rFonts w:ascii="Wingdings" w:hAnsi="Wingdings" w:cs="Wingdings"/>
    </w:rPr>
  </w:style>
  <w:style w:type="character" w:styleId="WW8Num63z0">
    <w:name w:val="WW8Num63z0"/>
    <w:qFormat/>
    <w:rPr>
      <w:rFonts w:ascii="Palatino;Times New Roman" w:hAnsi="Palatino;Times New Roman" w:cs="Palatino;Times New Roman"/>
    </w:rPr>
  </w:style>
  <w:style w:type="character" w:styleId="WW8Num65z0">
    <w:name w:val="WW8Num65z0"/>
    <w:qFormat/>
    <w:rPr>
      <w:rFonts w:ascii="Times New Roman" w:hAnsi="Times New Roman" w:cs="Times New Roman"/>
      <w:b w:val="false"/>
      <w:i w:val="false"/>
    </w:rPr>
  </w:style>
  <w:style w:type="character" w:styleId="WW8Num67z0">
    <w:name w:val="WW8Num67z0"/>
    <w:qFormat/>
    <w:rPr>
      <w:rFonts w:ascii="Times New Roman" w:hAnsi="Times New Roman" w:cs="Times New Roman"/>
    </w:rPr>
  </w:style>
  <w:style w:type="character" w:styleId="WW8Num68z0">
    <w:name w:val="WW8Num68z0"/>
    <w:qFormat/>
    <w:rPr>
      <w:rFonts w:ascii="Times" w:hAnsi="Times" w:cs="Times"/>
      <w:b w:val="false"/>
      <w:i w:val="false"/>
      <w:sz w:val="24"/>
    </w:rPr>
  </w:style>
  <w:style w:type="character" w:styleId="WW8Num72z0">
    <w:name w:val="WW8Num72z0"/>
    <w:qFormat/>
    <w:rPr>
      <w:rFonts w:ascii="Times New Roman" w:hAnsi="Times New Roman" w:cs="Times New Roman"/>
    </w:rPr>
  </w:style>
  <w:style w:type="character" w:styleId="WW8Num74z0">
    <w:name w:val="WW8Num74z0"/>
    <w:qFormat/>
    <w:rPr>
      <w:rFonts w:ascii="Times" w:hAnsi="Times" w:cs="Times"/>
      <w:b w:val="false"/>
      <w:i w:val="false"/>
      <w:sz w:val="24"/>
    </w:rPr>
  </w:style>
  <w:style w:type="character" w:styleId="WW8Num75z0">
    <w:name w:val="WW8Num75z0"/>
    <w:qFormat/>
    <w:rPr>
      <w:rFonts w:ascii="Times" w:hAnsi="Times" w:cs="Times"/>
      <w:b w:val="false"/>
      <w:i w:val="false"/>
      <w:sz w:val="24"/>
    </w:rPr>
  </w:style>
  <w:style w:type="character" w:styleId="WW8Num77z0">
    <w:name w:val="WW8Num77z0"/>
    <w:qFormat/>
    <w:rPr>
      <w:rFonts w:ascii="Times New Roman" w:hAnsi="Times New Roman" w:cs="Times New Roman"/>
      <w:b w:val="false"/>
      <w:i w:val="false"/>
    </w:rPr>
  </w:style>
  <w:style w:type="character" w:styleId="WW8Num79z0">
    <w:name w:val="WW8Num79z0"/>
    <w:qFormat/>
    <w:rPr>
      <w:rFonts w:ascii="Times" w:hAnsi="Times" w:cs="Times"/>
      <w:b w:val="false"/>
      <w:i w:val="false"/>
      <w:sz w:val="24"/>
    </w:rPr>
  </w:style>
  <w:style w:type="character" w:styleId="WW8Num82z0">
    <w:name w:val="WW8Num82z0"/>
    <w:qFormat/>
    <w:rPr>
      <w:rFonts w:ascii="Times" w:hAnsi="Times" w:cs="Times"/>
      <w:b w:val="false"/>
      <w:i w:val="false"/>
      <w:sz w:val="24"/>
    </w:rPr>
  </w:style>
  <w:style w:type="character" w:styleId="WW8Num83z0">
    <w:name w:val="WW8Num83z0"/>
    <w:qFormat/>
    <w:rPr>
      <w:rFonts w:ascii="Wingdings" w:hAnsi="Wingdings" w:cs="Wingdings"/>
    </w:rPr>
  </w:style>
  <w:style w:type="character" w:styleId="WW8Num85z0">
    <w:name w:val="WW8Num85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Times New Roman" w:hAnsi="Palatino;Times New Roman" w:cs="Palatino;Times New Roman"/>
    </w:rPr>
  </w:style>
  <w:style w:type="character" w:styleId="WW8NumSt40z0">
    <w:name w:val="WW8NumSt40z0"/>
    <w:qFormat/>
    <w:rPr>
      <w:rFonts w:ascii="Palatino;Times New Roman" w:hAnsi="Palatino;Times New Roman" w:cs="Palatino;Times New Roman"/>
    </w:rPr>
  </w:style>
  <w:style w:type="character" w:styleId="WW8NumSt43z0">
    <w:name w:val="WW8NumSt43z0"/>
    <w:qFormat/>
    <w:rPr>
      <w:rFonts w:ascii="Palatino;Times New Roman" w:hAnsi="Palatino;Times New Roman" w:cs="Palatino;Times New Roman"/>
    </w:rPr>
  </w:style>
  <w:style w:type="character" w:styleId="WW8NumSt44z0">
    <w:name w:val="WW8NumSt44z0"/>
    <w:qFormat/>
    <w:rPr>
      <w:rFonts w:ascii="Palatino;Times New Roman" w:hAnsi="Palatino;Times New Roman" w:cs="Palatino;Times New Roman"/>
    </w:rPr>
  </w:style>
  <w:style w:type="character" w:styleId="WW8NumSt45z0">
    <w:name w:val="WW8NumSt45z0"/>
    <w:qFormat/>
    <w:rPr>
      <w:rFonts w:ascii="Palatino;Times New Roman" w:hAnsi="Palatino;Times New Roman" w:cs="Palatino;Times New Roman"/>
    </w:rPr>
  </w:style>
  <w:style w:type="character" w:styleId="WW8NumSt46z0">
    <w:name w:val="WW8NumSt46z0"/>
    <w:qFormat/>
    <w:rPr>
      <w:rFonts w:ascii="Palatino;Times New Roman" w:hAnsi="Palatino;Times New Roman" w:cs="Palatino;Times New Roman"/>
    </w:rPr>
  </w:style>
  <w:style w:type="character" w:styleId="WW8NumSt47z0">
    <w:name w:val="WW8NumSt47z0"/>
    <w:qFormat/>
    <w:rPr>
      <w:rFonts w:ascii="Palatino;Times New Roman" w:hAnsi="Palatino;Times New Roman" w:cs="Palatino;Times New Roman"/>
    </w:rPr>
  </w:style>
  <w:style w:type="character" w:styleId="WW8NumSt48z0">
    <w:name w:val="WW8NumSt48z0"/>
    <w:qFormat/>
    <w:rPr>
      <w:rFonts w:ascii="Palatino;Times New Roman" w:hAnsi="Palatino;Times New Roman" w:cs="Palatino;Times New Roman"/>
    </w:rPr>
  </w:style>
  <w:style w:type="character" w:styleId="WW8NumSt49z0">
    <w:name w:val="WW8NumSt49z0"/>
    <w:qFormat/>
    <w:rPr>
      <w:rFonts w:ascii="Palatino;Times New Roman" w:hAnsi="Palatino;Times New Roman" w:cs="Palatino;Times New Roman"/>
    </w:rPr>
  </w:style>
  <w:style w:type="character" w:styleId="WW8NumSt50z0">
    <w:name w:val="WW8NumSt50z0"/>
    <w:qFormat/>
    <w:rPr>
      <w:rFonts w:ascii="Palatino;Times New Roman" w:hAnsi="Palatino;Times New Roman" w:cs="Palatino;Times New Roman"/>
    </w:rPr>
  </w:style>
  <w:style w:type="character" w:styleId="WW8NumSt52z0">
    <w:name w:val="WW8NumSt52z0"/>
    <w:qFormat/>
    <w:rPr>
      <w:rFonts w:ascii="Wingdings" w:hAnsi="Wingdings" w:cs="Wingdings"/>
    </w:rPr>
  </w:style>
  <w:style w:type="character" w:styleId="WW8NumSt53z0">
    <w:name w:val="WW8NumSt53z0"/>
    <w:qFormat/>
    <w:rPr>
      <w:rFonts w:ascii="Wingdings" w:hAnsi="Wingdings" w:cs="Wingdings"/>
    </w:rPr>
  </w:style>
  <w:style w:type="character" w:styleId="WW8NumSt55z0">
    <w:name w:val="WW8NumSt55z0"/>
    <w:qFormat/>
    <w:rPr>
      <w:rFonts w:ascii="Wingdings" w:hAnsi="Wingdings" w:cs="Wingdings"/>
    </w:rPr>
  </w:style>
  <w:style w:type="character" w:styleId="WW8NumSt56z0">
    <w:name w:val="WW8NumSt56z0"/>
    <w:qFormat/>
    <w:rPr>
      <w:rFonts w:ascii="Wingdings" w:hAnsi="Wingdings" w:cs="Wingdings"/>
    </w:rPr>
  </w:style>
  <w:style w:type="character" w:styleId="WW8NumSt57z0">
    <w:name w:val="WW8NumSt57z0"/>
    <w:qFormat/>
    <w:rPr>
      <w:rFonts w:ascii="Wingdings" w:hAnsi="Wingdings" w:cs="Wingdings"/>
    </w:rPr>
  </w:style>
  <w:style w:type="character" w:styleId="WW8NumSt58z0">
    <w:name w:val="WW8NumSt58z0"/>
    <w:qFormat/>
    <w:rPr>
      <w:rFonts w:ascii="Palatino;Times New Roman" w:hAnsi="Palatino;Times New Roman" w:cs="Palatino;Times New Roman"/>
    </w:rPr>
  </w:style>
  <w:style w:type="character" w:styleId="WW8NumSt59z0">
    <w:name w:val="WW8NumSt59z0"/>
    <w:qFormat/>
    <w:rPr>
      <w:rFonts w:ascii="Wingdings" w:hAnsi="Wingdings" w:cs="Wingdings"/>
    </w:rPr>
  </w:style>
  <w:style w:type="character" w:styleId="WW8NumSt60z0">
    <w:name w:val="WW8NumSt60z0"/>
    <w:qFormat/>
    <w:rPr>
      <w:rFonts w:ascii="Wingdings" w:hAnsi="Wingdings" w:cs="Wingdings"/>
    </w:rPr>
  </w:style>
  <w:style w:type="character" w:styleId="WW8NumSt61z0">
    <w:name w:val="WW8NumSt61z0"/>
    <w:qFormat/>
    <w:rPr>
      <w:rFonts w:ascii="Wingdings" w:hAnsi="Wingdings" w:cs="Wingdings"/>
    </w:rPr>
  </w:style>
  <w:style w:type="character" w:styleId="WW8NumSt63z0">
    <w:name w:val="WW8NumSt63z0"/>
    <w:qFormat/>
    <w:rPr>
      <w:rFonts w:ascii="Palatino;Times New Roman" w:hAnsi="Palatino;Times New Roman" w:cs="Palatino;Times New Roman"/>
    </w:rPr>
  </w:style>
  <w:style w:type="character" w:styleId="WW8NumSt64z0">
    <w:name w:val="WW8NumSt64z0"/>
    <w:qFormat/>
    <w:rPr>
      <w:rFonts w:ascii="Palatino;Times New Roman" w:hAnsi="Palatino;Times New Roman" w:cs="Palatino;Times New Roman"/>
    </w:rPr>
  </w:style>
  <w:style w:type="character" w:styleId="WW8NumSt65z0">
    <w:name w:val="WW8NumSt65z0"/>
    <w:qFormat/>
    <w:rPr>
      <w:rFonts w:ascii="Palatino;Times New Roman" w:hAnsi="Palatino;Times New Roman" w:cs="Palatino;Times New Roman"/>
    </w:rPr>
  </w:style>
  <w:style w:type="character" w:styleId="WW8NumSt66z0">
    <w:name w:val="WW8NumSt66z0"/>
    <w:qFormat/>
    <w:rPr>
      <w:rFonts w:ascii="Palatino;Times New Roman" w:hAnsi="Palatino;Times New Roman" w:cs="Palatino;Times New Roman"/>
    </w:rPr>
  </w:style>
  <w:style w:type="character" w:styleId="WW8NumSt67z0">
    <w:name w:val="WW8NumSt67z0"/>
    <w:qFormat/>
    <w:rPr>
      <w:rFonts w:ascii="Palatino;Times New Roman" w:hAnsi="Palatino;Times New Roman" w:cs="Palatino;Times New Roman"/>
    </w:rPr>
  </w:style>
  <w:style w:type="character" w:styleId="WW8NumSt69z0">
    <w:name w:val="WW8NumSt69z0"/>
    <w:qFormat/>
    <w:rPr>
      <w:rFonts w:ascii="Palatino;Times New Roman" w:hAnsi="Palatino;Times New Roman" w:cs="Palatino;Times New Roman"/>
    </w:rPr>
  </w:style>
  <w:style w:type="character" w:styleId="WW8NumSt70z0">
    <w:name w:val="WW8NumSt70z0"/>
    <w:qFormat/>
    <w:rPr>
      <w:rFonts w:ascii="Palatino;Times New Roman" w:hAnsi="Palatino;Times New Roman" w:cs="Palatino;Times New Roman"/>
    </w:rPr>
  </w:style>
  <w:style w:type="character" w:styleId="WW8NumSt71z0">
    <w:name w:val="WW8NumSt71z0"/>
    <w:qFormat/>
    <w:rPr>
      <w:rFonts w:ascii="Palatino;Times New Roman" w:hAnsi="Palatino;Times New Roman" w:cs="Palatino;Times New Roman"/>
    </w:rPr>
  </w:style>
  <w:style w:type="character" w:styleId="WW8NumSt73z0">
    <w:name w:val="WW8NumSt73z0"/>
    <w:qFormat/>
    <w:rPr>
      <w:rFonts w:ascii="Wingdings" w:hAnsi="Wingdings" w:cs="Wingdings"/>
    </w:rPr>
  </w:style>
  <w:style w:type="character" w:styleId="WW8NumSt74z0">
    <w:name w:val="WW8NumSt74z0"/>
    <w:qFormat/>
    <w:rPr>
      <w:rFonts w:ascii="Palatino;Times New Roman" w:hAnsi="Palatino;Times New Roman" w:cs="Palatino;Times New Roman"/>
    </w:rPr>
  </w:style>
  <w:style w:type="character" w:styleId="WW8NumSt75z0">
    <w:name w:val="WW8NumSt75z0"/>
    <w:qFormat/>
    <w:rPr>
      <w:rFonts w:ascii="Wingdings" w:hAnsi="Wingdings" w:cs="Wingdings"/>
    </w:rPr>
  </w:style>
  <w:style w:type="character" w:styleId="WW8NumSt76z0">
    <w:name w:val="WW8NumSt76z0"/>
    <w:qFormat/>
    <w:rPr>
      <w:rFonts w:ascii="Wingdings" w:hAnsi="Wingdings" w:cs="Wingdings"/>
    </w:rPr>
  </w:style>
  <w:style w:type="character" w:styleId="WW8NumSt79z0">
    <w:name w:val="WW8NumSt79z0"/>
    <w:qFormat/>
    <w:rPr>
      <w:rFonts w:ascii="Palatino;Times New Roman" w:hAnsi="Palatino;Times New Roman" w:cs="Palatino;Times New Roman"/>
    </w:rPr>
  </w:style>
  <w:style w:type="character" w:styleId="WW8NumSt80z0">
    <w:name w:val="WW8NumSt80z0"/>
    <w:qFormat/>
    <w:rPr>
      <w:rFonts w:ascii="Palatino;Times New Roman" w:hAnsi="Palatino;Times New Roman" w:cs="Palatino;Times New Roman"/>
    </w:rPr>
  </w:style>
  <w:style w:type="character" w:styleId="WW8NumSt82z0">
    <w:name w:val="WW8NumSt82z0"/>
    <w:qFormat/>
    <w:rPr>
      <w:rFonts w:ascii="Wingdings" w:hAnsi="Wingdings" w:cs="Wingdings"/>
    </w:rPr>
  </w:style>
  <w:style w:type="character" w:styleId="WW8NumSt83z0">
    <w:name w:val="WW8NumSt83z0"/>
    <w:qFormat/>
    <w:rPr>
      <w:rFonts w:ascii="Wingdings" w:hAnsi="Wingdings" w:cs="Wingdings"/>
    </w:rPr>
  </w:style>
  <w:style w:type="character" w:styleId="WW8NumSt84z0">
    <w:name w:val="WW8NumSt84z0"/>
    <w:qFormat/>
    <w:rPr>
      <w:rFonts w:ascii="Wingdings" w:hAnsi="Wingdings" w:cs="Wingdings"/>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8z0">
    <w:name w:val="WW8NumSt88z0"/>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sz w:val="26"/>
    </w:rPr>
  </w:style>
  <w:style w:type="paragraph" w:styleId="31subtitle">
    <w:name w:val="31 subtitle"/>
    <w:basedOn w:val="Normal"/>
    <w:next w:val="Normal"/>
    <w:qFormat/>
    <w:pPr>
      <w:spacing w:before="0" w:after="720"/>
      <w:ind w:hanging="0" w:start="0" w:end="3601"/>
    </w:pPr>
    <w:rPr>
      <w:i/>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13"/>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13" w:leader="none"/>
      </w:tabs>
      <w:outlineLvl w:val="7"/>
    </w:pPr>
    <w:rPr/>
  </w:style>
  <w:style w:type="paragraph" w:styleId="04dot">
    <w:name w:val="04 dot"/>
    <w:basedOn w:val="Normal"/>
    <w:qFormat/>
    <w:pPr>
      <w:numPr>
        <w:ilvl w:val="0"/>
        <w:numId w:val="7"/>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0"/>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sz w:val="26"/>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0"/>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0"/>
      </w:numPr>
      <w:tabs>
        <w:tab w:val="clear" w:pos="720"/>
      </w:tabs>
      <w:spacing w:before="0" w:after="0"/>
    </w:pPr>
    <w:rPr>
      <w:rFonts w:ascii="Arial" w:hAnsi="Arial" w:cs="Arial"/>
    </w:rPr>
  </w:style>
  <w:style w:type="paragraph" w:styleId="62exhdash">
    <w:name w:val="62 exh dash"/>
    <w:basedOn w:val="12tablebullet"/>
    <w:qFormat/>
    <w:pPr>
      <w:numPr>
        <w:ilvl w:val="0"/>
        <w:numId w:val="8"/>
      </w:numPr>
      <w:tabs>
        <w:tab w:val="left" w:pos="605" w:leader="none"/>
      </w:tabs>
    </w:pPr>
    <w:rPr>
      <w:rFonts w:ascii="Arial" w:hAnsi="Arial" w:cs="Arial"/>
    </w:rPr>
  </w:style>
  <w:style w:type="paragraph" w:styleId="63exhdot">
    <w:name w:val="63 exh dot"/>
    <w:basedOn w:val="13tabledash"/>
    <w:qFormat/>
    <w:pPr>
      <w:numPr>
        <w:ilvl w:val="0"/>
        <w:numId w:val="11"/>
      </w:numPr>
    </w:pPr>
    <w:rPr>
      <w:rFonts w:ascii="Arial" w:hAnsi="Arial" w:cs="Arial"/>
    </w:rPr>
  </w:style>
  <w:style w:type="paragraph" w:styleId="64exhddot">
    <w:name w:val="64 exh ddot"/>
    <w:basedOn w:val="04dot"/>
    <w:qFormat/>
    <w:pPr>
      <w:numPr>
        <w:ilvl w:val="0"/>
        <w:numId w:val="9"/>
      </w:numPr>
      <w:spacing w:before="0" w:after="0"/>
      <w:ind w:hanging="0" w:start="1195" w:end="0"/>
      <w:outlineLvl w:val="9"/>
    </w:pPr>
    <w:rPr>
      <w:rFonts w:ascii="Arial" w:hAnsi="Arial" w:cs="Arial"/>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2"/>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Palatino;Times New Roman" w:hAnsi="Palatino;Times New Roman" w:cs="Palatino;Times New Roman"/>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DocumentID-BL">
    <w:name w:val="DocumentID-BL"/>
    <w:basedOn w:val="Normal"/>
    <w:next w:val="Header"/>
    <w:qFormat/>
    <w:pPr>
      <w:spacing w:before="0" w:after="0"/>
    </w:pPr>
    <w:rPr>
      <w:sz w:val="16"/>
    </w:rPr>
  </w:style>
  <w:style w:type="paragraph" w:styleId="DocumentID-TR">
    <w:name w:val="DocumentID-TR"/>
    <w:basedOn w:val="Normal"/>
    <w:next w:val="Header"/>
    <w:qFormat/>
    <w:pPr>
      <w:spacing w:before="0" w:after="0"/>
      <w:jc w:val="end"/>
    </w:pPr>
    <w:rPr>
      <w:sz w:val="16"/>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eastAsia="zh-CN" w:bidi="hi-I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TRT">
    <w:name w:val="DocumentID-TRT"/>
    <w:basedOn w:val="DocumentID-TR"/>
    <w:qFormat/>
    <w:pPr/>
    <w:rPr>
      <w:vanish/>
      <w:color w:val="FF0000"/>
    </w:rPr>
  </w:style>
  <w:style w:type="paragraph" w:styleId="DocumentID-BLT">
    <w:name w:val="DocumentID-BLT"/>
    <w:basedOn w:val="DocumentID-BL"/>
    <w:qFormat/>
    <w:pPr/>
    <w:rPr>
      <w:vanish/>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2000-03-09T23:59:00Z</dcterms:created>
  <dc:creator>rcharve</dc:creator>
  <dc:description/>
  <dc:language>en-CA</dc:language>
  <cp:lastModifiedBy>rcharve</cp:lastModifiedBy>
  <dcterms:modified xsi:type="dcterms:W3CDTF">2000-03-10T01:10:00Z</dcterms:modified>
  <cp:revision>5</cp:revision>
  <dc:subject/>
  <dc:title>Mexico </dc:title>
</cp:coreProperties>
</file>