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rPr>
          <w:b/>
          <w:bCs/>
        </w:rPr>
        <w:t>"DEEMED ISDA" CONFIRMATION</w:t>
      </w:r>
    </w:p>
    <w:p>
      <w:pPr>
        <w:pStyle w:val="Normal"/>
        <w:jc w:val="end"/>
        <w:rPr>
          <w:b/>
          <w:bCs/>
        </w:rPr>
      </w:pPr>
      <w:r>
        <w:rPr>
          <w:b/>
          <w:bCs/>
        </w:rPr>
        <w:t>MEXICO SAMPLE</w:t>
      </w:r>
    </w:p>
    <w:p>
      <w:pPr>
        <w:pStyle w:val="Normal"/>
        <w:jc w:val="end"/>
        <w:rPr>
          <w:b/>
          <w:bCs/>
        </w:rPr>
      </w:pPr>
      <w:r>
        <w:rPr>
          <w:b/>
          <w:bCs/>
        </w:rPr>
        <w:t>DRAFT OF 08/02/01</w:t>
      </w:r>
    </w:p>
    <w:p>
      <w:pPr>
        <w:pStyle w:val="Normal"/>
        <w:jc w:val="end"/>
        <w:rPr>
          <w:b/>
          <w:bCs/>
          <w:sz w:val="22"/>
          <w:szCs w:val="17"/>
        </w:rPr>
      </w:pPr>
      <w:r>
        <w:rPr>
          <w:b/>
          <w:bCs/>
          <w:sz w:val="22"/>
          <w:szCs w:val="17"/>
        </w:rPr>
      </w:r>
    </w:p>
    <w:p>
      <w:pPr>
        <w:pStyle w:val="Normal"/>
        <w:jc w:val="end"/>
        <w:rPr>
          <w:b/>
          <w:sz w:val="22"/>
          <w:szCs w:val="17"/>
        </w:rPr>
      </w:pPr>
      <w:r>
        <w:rPr>
          <w:b/>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_________________, 2001</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t>________________</w:t>
      </w:r>
    </w:p>
    <w:p>
      <w:pPr>
        <w:pStyle w:val="Normal"/>
        <w:rPr>
          <w:sz w:val="22"/>
          <w:szCs w:val="17"/>
        </w:rPr>
      </w:pPr>
      <w:r>
        <w:rPr>
          <w:sz w:val="22"/>
          <w:szCs w:val="17"/>
        </w:rPr>
        <w:t>________________</w:t>
      </w:r>
    </w:p>
    <w:p>
      <w:pPr>
        <w:pStyle w:val="Normal"/>
        <w:rPr>
          <w:sz w:val="22"/>
          <w:szCs w:val="17"/>
        </w:rPr>
      </w:pPr>
      <w:r>
        <w:rPr>
          <w:sz w:val="22"/>
          <w:szCs w:val="17"/>
        </w:rPr>
        <w:t>________________</w:t>
      </w:r>
    </w:p>
    <w:p>
      <w:pPr>
        <w:pStyle w:val="Normal"/>
        <w:rPr>
          <w:sz w:val="22"/>
          <w:szCs w:val="17"/>
        </w:rPr>
      </w:pPr>
      <w:r>
        <w:rPr>
          <w:sz w:val="22"/>
          <w:szCs w:val="17"/>
        </w:rPr>
        <w:t>Attention: _________________</w:t>
      </w:r>
    </w:p>
    <w:p>
      <w:pPr>
        <w:pStyle w:val="Normal"/>
        <w:rPr>
          <w:sz w:val="22"/>
          <w:szCs w:val="17"/>
        </w:rPr>
      </w:pPr>
      <w:r>
        <w:rPr>
          <w:sz w:val="22"/>
          <w:szCs w:val="17"/>
        </w:rPr>
      </w:r>
    </w:p>
    <w:p>
      <w:pPr>
        <w:pStyle w:val="Normal"/>
        <w:rPr>
          <w:sz w:val="22"/>
          <w:szCs w:val="17"/>
        </w:rPr>
      </w:pPr>
      <w:r>
        <w:rPr>
          <w:sz w:val="22"/>
          <w:szCs w:val="17"/>
        </w:rPr>
        <w:t>Fax No.:___________________</w:t>
      </w:r>
    </w:p>
    <w:p>
      <w:pPr>
        <w:pStyle w:val="Normal"/>
        <w:rPr>
          <w:sz w:val="22"/>
          <w:szCs w:val="17"/>
        </w:rPr>
      </w:pPr>
      <w:r>
        <w:rPr>
          <w:sz w:val="22"/>
          <w:szCs w:val="17"/>
        </w:rPr>
        <w:t>Telephone No.: _____________</w:t>
      </w:r>
    </w:p>
    <w:p>
      <w:pPr>
        <w:pStyle w:val="Index1"/>
        <w:rPr>
          <w:rFonts w:ascii="Times New Roman" w:hAnsi="Times New Roman" w:cs="Times New Roman"/>
          <w:sz w:val="22"/>
          <w:szCs w:val="17"/>
        </w:rPr>
      </w:pPr>
      <w:r>
        <w:rPr>
          <w:rFonts w:cs="Times New Roman" w:ascii="Times New Roman" w:hAnsi="Times New Roman"/>
          <w:sz w:val="22"/>
          <w:szCs w:val="17"/>
        </w:rPr>
      </w:r>
    </w:p>
    <w:p>
      <w:pPr>
        <w:pStyle w:val="Normal"/>
        <w:rPr>
          <w:sz w:val="22"/>
          <w:szCs w:val="17"/>
        </w:rPr>
      </w:pPr>
      <w:r>
        <w:rPr>
          <w:sz w:val="22"/>
          <w:szCs w:val="17"/>
        </w:rPr>
        <w:t>Re:</w:t>
        <w:tab/>
        <w:t>TRANSACTION ENA Contract No. _________</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Normal"/>
        <w:jc w:val="both"/>
        <w:rPr>
          <w:sz w:val="22"/>
          <w:szCs w:val="17"/>
        </w:rPr>
      </w:pPr>
      <w:r>
        <w:rPr>
          <w:sz w:val="22"/>
          <w:szCs w:val="17"/>
        </w:rPr>
        <w:t>The purpose of this document is to confirm the terms and conditions of the transaction entered into between __________________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sz w:val="22"/>
          <w:szCs w:val="17"/>
        </w:rPr>
      </w:pPr>
      <w:r>
        <w:rPr>
          <w:sz w:val="22"/>
          <w:szCs w:val="17"/>
        </w:rPr>
      </w:r>
    </w:p>
    <w:p>
      <w:pPr>
        <w:pStyle w:val="BodyText"/>
        <w:rPr>
          <w:sz w:val="22"/>
          <w:szCs w:val="17"/>
        </w:rPr>
      </w:pPr>
      <w:r>
        <w:rPr>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is a corporation, partnership, proprietorship, organization, trust or other entity not created solely to engage in swap transactions and has (i) total assets exceeding U.S. $10,000,000, or (ii) a net worth of U.S. $1,000,000;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Automatic Early Termination</w:t>
      </w:r>
      <w:r>
        <w:rPr>
          <w:b/>
          <w:sz w:val="22"/>
          <w:szCs w:val="17"/>
        </w:rPr>
        <w:t xml:space="preserve">.  </w:t>
      </w:r>
      <w:r>
        <w:rPr>
          <w:sz w:val="22"/>
          <w:szCs w:val="17"/>
        </w:rPr>
        <w:t>For purposes of Section 6(a) of the ISDA Agreement, "Automatic Early Termination" shall apply to ENA and Counterparty.</w:t>
      </w:r>
    </w:p>
    <w:p>
      <w:pPr>
        <w:pStyle w:val="Normal"/>
        <w:jc w:val="both"/>
        <w:rPr>
          <w:sz w:val="22"/>
          <w:szCs w:val="17"/>
        </w:rPr>
      </w:pPr>
      <w:r>
        <w:rPr>
          <w:sz w:val="22"/>
          <w:szCs w:val="17"/>
        </w:rPr>
      </w:r>
    </w:p>
    <w:p>
      <w:pPr>
        <w:pStyle w:val="Normal"/>
        <w:jc w:val="both"/>
        <w:rPr/>
      </w:pPr>
      <w:r>
        <w:rPr>
          <w:sz w:val="22"/>
          <w:szCs w:val="17"/>
        </w:rPr>
        <w:t>7.</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Place of Payments</w:t>
      </w:r>
      <w:r>
        <w:rPr>
          <w:b/>
          <w:sz w:val="22"/>
          <w:szCs w:val="17"/>
        </w:rPr>
        <w:t>.</w:t>
      </w:r>
      <w:r>
        <w:rPr>
          <w:sz w:val="22"/>
          <w:szCs w:val="17"/>
        </w:rPr>
        <w:t xml:space="preserve">  For the avoidance of doubt, any payments to be made between ENA and Counterparty in connection with this Transaction shall be made through bank accounts located in the United States.</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sz w:val="22"/>
        </w:rPr>
        <w:t>finally settled under the Rules of Arbitration of the International Chamber of Commerce (the “Rules”)</w:t>
      </w:r>
      <w:r>
        <w:rPr>
          <w:sz w:val="22"/>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 w:val="22"/>
          <w:szCs w:val="17"/>
        </w:rPr>
      </w:pPr>
      <w:r>
        <w:rPr>
          <w:sz w:val="22"/>
          <w:szCs w:val="17"/>
        </w:rPr>
      </w:r>
    </w:p>
    <w:p>
      <w:pPr>
        <w:pStyle w:val="Normal"/>
        <w:jc w:val="both"/>
        <w:rPr/>
      </w:pPr>
      <w:r>
        <w:rPr>
          <w:sz w:val="22"/>
          <w:szCs w:val="17"/>
        </w:rPr>
        <w:t>10.</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11.</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12.</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rPr>
          <w:sz w:val="22"/>
          <w:szCs w:val="17"/>
        </w:rPr>
      </w:pPr>
      <w:r>
        <w:rPr>
          <w:sz w:val="22"/>
          <w:szCs w:val="17"/>
        </w:rPr>
      </w:r>
    </w:p>
    <w:p>
      <w:pPr>
        <w:pStyle w:val="Normal"/>
        <w:spacing w:lineRule="exact" w:line="240" w:before="240" w:after="0"/>
        <w:jc w:val="both"/>
        <w:rPr/>
      </w:pPr>
      <w:r>
        <w:rPr>
          <w:sz w:val="22"/>
          <w:szCs w:val="17"/>
        </w:rPr>
        <w:t>13.</w:t>
        <w:tab/>
      </w:r>
      <w:r>
        <w:rPr>
          <w:b/>
          <w:bCs/>
          <w:color w:val="000000"/>
          <w:sz w:val="22"/>
          <w:szCs w:val="22"/>
          <w:u w:val="single"/>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17"/>
        </w:rPr>
      </w:pPr>
      <w:r>
        <w:rPr>
          <w:color w:val="000000"/>
          <w:sz w:val="22"/>
          <w:szCs w:val="17"/>
        </w:rPr>
      </w:r>
    </w:p>
    <w:p>
      <w:pPr>
        <w:pStyle w:val="Normal"/>
        <w:rPr>
          <w:sz w:val="22"/>
          <w:szCs w:val="17"/>
        </w:rPr>
      </w:pPr>
      <w:r>
        <w:rPr>
          <w:sz w:val="22"/>
          <w:szCs w:val="17"/>
        </w:rPr>
        <w:t>14.</w:t>
        <w:tab/>
        <w:t>The Termination Currency shall be United States Dollars.</w:t>
      </w:r>
    </w:p>
    <w:p>
      <w:pPr>
        <w:pStyle w:val="Normal"/>
        <w:rPr>
          <w:sz w:val="22"/>
          <w:szCs w:val="17"/>
        </w:rPr>
      </w:pPr>
      <w:r>
        <w:rPr>
          <w:sz w:val="22"/>
          <w:szCs w:val="17"/>
        </w:rPr>
      </w:r>
    </w:p>
    <w:p>
      <w:pPr>
        <w:pStyle w:val="Normal"/>
        <w:jc w:val="both"/>
        <w:rPr/>
      </w:pPr>
      <w:r>
        <w:rPr>
          <w:sz w:val="22"/>
          <w:szCs w:val="17"/>
        </w:rPr>
        <w:t>15.</w:t>
        <w:tab/>
      </w:r>
      <w:r>
        <w:rPr>
          <w:b/>
          <w:sz w:val="22"/>
          <w:szCs w:val="17"/>
          <w:u w:val="single"/>
        </w:rPr>
        <w:t>Miscellaneous</w:t>
      </w:r>
      <w:r>
        <w:rPr>
          <w:b/>
          <w:sz w:val="22"/>
          <w:szCs w:val="17"/>
        </w:rPr>
        <w:t>.</w:t>
      </w:r>
    </w:p>
    <w:p>
      <w:pPr>
        <w:pStyle w:val="Normal"/>
        <w:jc w:val="both"/>
        <w:rPr>
          <w:b/>
          <w:sz w:val="22"/>
          <w:szCs w:val="17"/>
          <w:u w:val="single"/>
        </w:rPr>
      </w:pPr>
      <w:r>
        <w:rPr>
          <w:b/>
          <w:sz w:val="22"/>
          <w:szCs w:val="17"/>
          <w:u w:val="single"/>
        </w:rPr>
      </w:r>
    </w:p>
    <w:p>
      <w:pPr>
        <w:pStyle w:val="Normal"/>
        <w:jc w:val="both"/>
        <w:rPr/>
      </w:pPr>
      <w:r>
        <w:rPr>
          <w:sz w:val="22"/>
          <w:szCs w:val="17"/>
        </w:rPr>
        <w:t>a)</w:t>
      </w:r>
      <w:r>
        <w:rPr>
          <w:b/>
          <w:sz w:val="22"/>
          <w:szCs w:val="17"/>
        </w:rPr>
        <w:t xml:space="preserve"> </w:t>
      </w:r>
      <w:r>
        <w:rPr>
          <w:b/>
          <w:sz w:val="22"/>
          <w:szCs w:val="17"/>
          <w:u w:val="single"/>
        </w:rPr>
        <w:t>Additional Representations.</w:t>
      </w:r>
      <w:r>
        <w:rPr>
          <w:sz w:val="22"/>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 w:val="22"/>
          <w:szCs w:val="17"/>
        </w:rPr>
        <w:t>(g)</w:t>
        <w:tab/>
      </w:r>
      <w:r>
        <w:rPr>
          <w:b/>
          <w:sz w:val="22"/>
          <w:szCs w:val="17"/>
        </w:rPr>
        <w:t>ENA.</w:t>
      </w:r>
      <w:r>
        <w:rPr>
          <w:sz w:val="22"/>
          <w:szCs w:val="17"/>
        </w:rPr>
        <w:t xml:space="preserve">  ENA hereby represents and warrants to Counterparty that:</w:t>
      </w:r>
    </w:p>
    <w:p>
      <w:pPr>
        <w:pStyle w:val="BodyTextIndent3"/>
        <w:numPr>
          <w:ilvl w:val="0"/>
          <w:numId w:val="3"/>
        </w:numPr>
        <w:spacing w:lineRule="auto" w:line="240" w:before="240" w:after="0"/>
        <w:rPr>
          <w:szCs w:val="17"/>
        </w:rPr>
      </w:pPr>
      <w:r>
        <w:rPr>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spacing w:before="0" w:after="0"/>
        <w:rPr/>
      </w:pPr>
      <w:r>
        <w:rPr>
          <w:rFonts w:cs="Times New Roman" w:ascii="Times New Roman" w:hAnsi="Times New Roman"/>
          <w:b/>
          <w:sz w:val="22"/>
          <w:szCs w:val="17"/>
        </w:rPr>
        <w:t>Counterparty.</w:t>
      </w:r>
      <w:r>
        <w:rPr>
          <w:rFonts w:cs="Times New Roman" w:ascii="Times New Roman" w:hAnsi="Times New Roman"/>
          <w:sz w:val="22"/>
          <w:szCs w:val="17"/>
        </w:rPr>
        <w:t xml:space="preserve">  Counterparty hereby represents and warrants to ENA that:</w:t>
      </w:r>
    </w:p>
    <w:p>
      <w:pPr>
        <w:pStyle w:val="Heading2"/>
        <w:spacing w:before="0" w:after="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It is a Mexican [sociedad anonima de capital variable] [sociedad de responsibilidad limitada] [ _______________ ]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 w:val="22"/>
          <w:szCs w:val="17"/>
          <w:u w:val="single"/>
        </w:rPr>
        <w:t xml:space="preserve">Registro Publico de Comercio de                    </w:t>
      </w:r>
      <w:r>
        <w:rPr>
          <w:rFonts w:cs="Times New Roman" w:ascii="Times New Roman" w:hAnsi="Times New Roman"/>
          <w:sz w:val="22"/>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Normal"/>
        <w:jc w:val="both"/>
        <w:rPr>
          <w:rFonts w:ascii="Times New Roman" w:hAnsi="Times New Roman" w:cs="Times New Roman"/>
          <w:sz w:val="22"/>
          <w:szCs w:val="17"/>
        </w:rPr>
      </w:pPr>
      <w:r>
        <w:rPr>
          <w:rFonts w:cs="Times New Roman"/>
          <w:sz w:val="22"/>
          <w:szCs w:val="17"/>
        </w:rPr>
      </w:r>
    </w:p>
    <w:p>
      <w:pPr>
        <w:pStyle w:val="Normal"/>
        <w:numPr>
          <w:ilvl w:val="0"/>
          <w:numId w:val="2"/>
        </w:numPr>
        <w:jc w:val="both"/>
        <w:rPr>
          <w:sz w:val="22"/>
          <w:szCs w:val="17"/>
        </w:rPr>
      </w:pPr>
      <w:r>
        <w:rPr>
          <w:sz w:val="22"/>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 w:val="22"/>
          <w:szCs w:val="17"/>
        </w:rPr>
      </w:pPr>
      <w:r>
        <w:rPr>
          <w:sz w:val="22"/>
          <w:szCs w:val="17"/>
        </w:rPr>
      </w:r>
    </w:p>
    <w:p>
      <w:pPr>
        <w:pStyle w:val="Normal"/>
        <w:ind w:start="720" w:end="0"/>
        <w:jc w:val="both"/>
        <w:rPr>
          <w:sz w:val="22"/>
          <w:szCs w:val="17"/>
        </w:rPr>
      </w:pPr>
      <w:r>
        <w:rPr>
          <w:sz w:val="22"/>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sz w:val="22"/>
          <w:szCs w:val="17"/>
        </w:rPr>
      </w:pPr>
      <w:r>
        <w:rPr>
          <w:sz w:val="22"/>
          <w:szCs w:val="17"/>
        </w:rPr>
      </w:r>
    </w:p>
    <w:p>
      <w:pPr>
        <w:pStyle w:val="Heading2"/>
        <w:ind w:hanging="0" w:end="0"/>
        <w:rPr/>
      </w:pPr>
      <w:r>
        <w:rPr>
          <w:rFonts w:cs="Times New Roman" w:ascii="Times New Roman" w:hAnsi="Times New Roman"/>
          <w:sz w:val="22"/>
          <w:szCs w:val="17"/>
        </w:rPr>
        <w:t>b)</w:t>
      </w:r>
      <w:r>
        <w:rPr>
          <w:rFonts w:cs="Times New Roman" w:ascii="Times New Roman" w:hAnsi="Times New Roman"/>
          <w:b/>
          <w:sz w:val="22"/>
          <w:szCs w:val="17"/>
        </w:rPr>
        <w:t xml:space="preserve"> </w:t>
      </w:r>
      <w:r>
        <w:rPr>
          <w:rFonts w:cs="Times New Roman" w:ascii="Times New Roman" w:hAnsi="Times New Roman"/>
          <w:b/>
          <w:sz w:val="22"/>
          <w:szCs w:val="17"/>
          <w:u w:val="single"/>
        </w:rPr>
        <w:t>Authorization.</w:t>
      </w:r>
      <w:r>
        <w:rPr>
          <w:rFonts w:cs="Times New Roman" w:ascii="Times New Roman" w:hAnsi="Times New Roman"/>
          <w:sz w:val="22"/>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sz w:val="22"/>
          <w:szCs w:val="17"/>
        </w:rPr>
      </w:pPr>
      <w:r>
        <w:rPr>
          <w:sz w:val="22"/>
          <w:szCs w:val="17"/>
        </w:rPr>
        <w:t>16.</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spacing w:lineRule="exact" w:line="240" w:before="240" w:after="0"/>
        <w:jc w:val="both"/>
        <w:rPr/>
      </w:pPr>
      <w:r>
        <w:rPr>
          <w:sz w:val="22"/>
          <w:szCs w:val="17"/>
        </w:rPr>
        <w:t>17.</w:t>
        <w:tab/>
      </w:r>
      <w:r>
        <w:rPr>
          <w:b/>
          <w:bCs/>
          <w:sz w:val="22"/>
          <w:szCs w:val="22"/>
          <w:u w:val="single"/>
        </w:rPr>
        <w:t>Process Agent</w:t>
      </w:r>
      <w:r>
        <w:rPr>
          <w:b/>
          <w:bCs/>
          <w:sz w:val="22"/>
          <w:szCs w:val="22"/>
        </w:rPr>
        <w: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b/>
          <w:bCs/>
          <w:sz w:val="22"/>
          <w:szCs w:val="17"/>
          <w:u w:val="single"/>
        </w:rPr>
      </w:pPr>
      <w:r>
        <w:rPr>
          <w:b/>
          <w:bCs/>
          <w:sz w:val="22"/>
          <w:szCs w:val="17"/>
          <w:u w:val="single"/>
        </w:rPr>
      </w:r>
    </w:p>
    <w:p>
      <w:pPr>
        <w:pStyle w:val="Normal"/>
        <w:keepNext w:val="true"/>
        <w:jc w:val="both"/>
        <w:rPr>
          <w:b/>
          <w:sz w:val="22"/>
          <w:szCs w:val="17"/>
          <w:u w:val="single"/>
        </w:rPr>
      </w:pPr>
      <w:r>
        <w:rPr>
          <w:sz w:val="22"/>
          <w:szCs w:val="17"/>
        </w:rPr>
        <w:t>18.</w:t>
        <w:tab/>
      </w:r>
      <w:r>
        <w:rPr>
          <w:b/>
          <w:sz w:val="22"/>
          <w:szCs w:val="17"/>
          <w:u w:val="single"/>
        </w:rPr>
        <w:t>Credit or Other Special Provisions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jc w:val="both"/>
        <w:rPr>
          <w:sz w:val="22"/>
          <w:szCs w:val="17"/>
        </w:rPr>
      </w:pPr>
      <w:r>
        <w:rPr>
          <w:sz w:val="22"/>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sz w:val="22"/>
          <w:szCs w:val="17"/>
        </w:rPr>
      </w:pPr>
      <w:r>
        <w:rPr>
          <w:b/>
          <w:sz w:val="22"/>
          <w:szCs w:val="17"/>
        </w:rPr>
        <w:t>COUNTERPARTY</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jc w:val="center"/>
        <w:rPr>
          <w:b/>
          <w:sz w:val="22"/>
          <w:szCs w:val="17"/>
          <w:u w:val="single"/>
        </w:rPr>
      </w:pPr>
      <w:r>
        <w:rPr>
          <w:b/>
          <w:sz w:val="22"/>
          <w:szCs w:val="17"/>
          <w:u w:val="single"/>
        </w:rPr>
        <w:t>EXHIBIT 1</w:t>
      </w:r>
    </w:p>
    <w:p>
      <w:pPr>
        <w:pStyle w:val="Normal"/>
        <w:keepNext w:val="true"/>
        <w:jc w:val="end"/>
        <w:rPr>
          <w:b/>
          <w:sz w:val="22"/>
          <w:szCs w:val="17"/>
          <w:u w:val="single"/>
        </w:rPr>
      </w:pPr>
      <w:r>
        <w:rPr>
          <w:b/>
          <w:sz w:val="22"/>
          <w:szCs w:val="17"/>
          <w:u w:val="single"/>
        </w:rPr>
      </w:r>
    </w:p>
    <w:p>
      <w:pPr>
        <w:pStyle w:val="Normal"/>
        <w:jc w:val="end"/>
        <w:rPr>
          <w:sz w:val="22"/>
          <w:szCs w:val="17"/>
        </w:rPr>
      </w:pPr>
      <w:r>
        <w:rPr>
          <w:sz w:val="22"/>
          <w:szCs w:val="17"/>
        </w:rPr>
      </w:r>
    </w:p>
    <w:p>
      <w:pPr>
        <w:pStyle w:val="Normal"/>
        <w:rPr>
          <w:sz w:val="22"/>
          <w:szCs w:val="17"/>
        </w:rPr>
      </w:pPr>
      <w:r>
        <w:rPr>
          <w:sz w:val="22"/>
          <w:szCs w:val="17"/>
        </w:rPr>
      </w:r>
    </w:p>
    <w:p>
      <w:pPr>
        <w:pStyle w:val="Normal"/>
        <w:rPr>
          <w:sz w:val="22"/>
          <w:szCs w:val="17"/>
        </w:rPr>
      </w:pPr>
      <w:r>
        <w:rPr>
          <w:sz w:val="22"/>
          <w:szCs w:val="17"/>
        </w:rPr>
      </w:r>
    </w:p>
    <w:p>
      <w:pPr>
        <w:pStyle w:val="Normal"/>
        <w:jc w:val="center"/>
        <w:rPr>
          <w:sz w:val="22"/>
          <w:szCs w:val="17"/>
        </w:rPr>
      </w:pPr>
      <w:r>
        <w:rPr>
          <w:sz w:val="22"/>
          <w:szCs w:val="17"/>
        </w:rPr>
        <w:t>[Letterhead of</w:t>
      </w:r>
    </w:p>
    <w:p>
      <w:pPr>
        <w:pStyle w:val="Normal"/>
        <w:jc w:val="center"/>
        <w:rPr>
          <w:sz w:val="22"/>
          <w:szCs w:val="17"/>
        </w:rPr>
      </w:pPr>
      <w:r>
        <w:rPr>
          <w:sz w:val="22"/>
          <w:szCs w:val="17"/>
        </w:rPr>
        <w:t>Counsel to Counterparty]</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jc w:val="center"/>
        <w:rPr>
          <w:sz w:val="22"/>
          <w:szCs w:val="17"/>
        </w:rPr>
      </w:pPr>
      <w:r>
        <w:rPr>
          <w:sz w:val="22"/>
          <w:szCs w:val="17"/>
        </w:rPr>
        <w:t>[Date]</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Enron North America Corp.</w:t>
      </w:r>
    </w:p>
    <w:p>
      <w:pPr>
        <w:pStyle w:val="Normal"/>
        <w:rPr>
          <w:sz w:val="22"/>
          <w:szCs w:val="17"/>
        </w:rPr>
      </w:pPr>
      <w:r>
        <w:rPr>
          <w:sz w:val="22"/>
          <w:szCs w:val="17"/>
        </w:rPr>
        <w:t>1400 Smith Street</w:t>
      </w:r>
    </w:p>
    <w:p>
      <w:pPr>
        <w:pStyle w:val="Index1"/>
        <w:rPr>
          <w:rFonts w:ascii="Times New Roman" w:hAnsi="Times New Roman" w:cs="Times New Roman"/>
          <w:sz w:val="22"/>
          <w:szCs w:val="17"/>
        </w:rPr>
      </w:pPr>
      <w:r>
        <w:rPr>
          <w:rFonts w:cs="Times New Roman" w:ascii="Times New Roman" w:hAnsi="Times New Roman"/>
          <w:sz w:val="22"/>
          <w:szCs w:val="17"/>
        </w:rPr>
        <w:t>Houston, Texas  77002</w:t>
      </w:r>
    </w:p>
    <w:p>
      <w:pPr>
        <w:pStyle w:val="Normal"/>
        <w:rPr>
          <w:rFonts w:ascii="Times New Roman" w:hAnsi="Times New Roman" w:cs="Times New Roman"/>
          <w:sz w:val="22"/>
          <w:szCs w:val="17"/>
        </w:rPr>
      </w:pPr>
      <w:r>
        <w:rPr>
          <w:rFonts w:cs="Times New Roman"/>
          <w:sz w:val="22"/>
          <w:szCs w:val="17"/>
        </w:rPr>
      </w:r>
    </w:p>
    <w:p>
      <w:pPr>
        <w:pStyle w:val="Normal"/>
        <w:rPr>
          <w:sz w:val="22"/>
          <w:szCs w:val="17"/>
        </w:rPr>
      </w:pPr>
      <w:r>
        <w:rPr>
          <w:sz w:val="22"/>
          <w:szCs w:val="17"/>
        </w:rPr>
        <w:t>Dear Sir or Madam:</w:t>
      </w:r>
    </w:p>
    <w:p>
      <w:pPr>
        <w:pStyle w:val="Normal"/>
        <w:rPr>
          <w:sz w:val="22"/>
          <w:szCs w:val="17"/>
        </w:rPr>
      </w:pPr>
      <w:r>
        <w:rPr>
          <w:sz w:val="22"/>
          <w:szCs w:val="17"/>
        </w:rPr>
      </w:r>
    </w:p>
    <w:p>
      <w:pPr>
        <w:pStyle w:val="Normal"/>
        <w:ind w:firstLine="1440" w:end="0"/>
        <w:jc w:val="both"/>
        <w:rPr/>
      </w:pPr>
      <w:r>
        <w:rPr>
          <w:sz w:val="22"/>
          <w:szCs w:val="17"/>
        </w:rPr>
        <w:t>We have acted as counsel to _________________________________ (the "Counterparty"), in connection with the execution and delivery by the Counterparty of a Confirmation dated as of ________ [and an ISDA Master Agreement dated as of</w:t>
      </w:r>
      <w:r>
        <w:rPr>
          <w:sz w:val="22"/>
          <w:szCs w:val="17"/>
          <w:u w:val="single"/>
        </w:rPr>
        <w:t xml:space="preserve">                              </w:t>
      </w:r>
      <w:r>
        <w:rPr>
          <w:sz w:val="22"/>
          <w:szCs w:val="17"/>
        </w:rPr>
        <w:t>] (the Confirmation, the ISDA Master Agreement and any Transactions intended to be governed thereby are hereinafter referred to as the "Agreement"), between you and the Counterparty.</w:t>
      </w:r>
    </w:p>
    <w:p>
      <w:pPr>
        <w:pStyle w:val="Normal"/>
        <w:jc w:val="both"/>
        <w:rPr>
          <w:sz w:val="22"/>
          <w:szCs w:val="17"/>
        </w:rPr>
      </w:pPr>
      <w:r>
        <w:rPr>
          <w:sz w:val="22"/>
          <w:szCs w:val="17"/>
        </w:rPr>
      </w:r>
    </w:p>
    <w:p>
      <w:pPr>
        <w:pStyle w:val="Normal"/>
        <w:jc w:val="both"/>
        <w:rPr>
          <w:sz w:val="22"/>
          <w:szCs w:val="17"/>
        </w:rPr>
      </w:pPr>
      <w:r>
        <w:rPr>
          <w:sz w:val="22"/>
          <w:szCs w:val="17"/>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Mexico.</w:t>
      </w:r>
    </w:p>
    <w:p>
      <w:pPr>
        <w:pStyle w:val="Normal"/>
        <w:jc w:val="both"/>
        <w:rPr>
          <w:sz w:val="22"/>
          <w:szCs w:val="17"/>
        </w:rPr>
      </w:pPr>
      <w:r>
        <w:rPr>
          <w:sz w:val="22"/>
          <w:szCs w:val="17"/>
        </w:rPr>
      </w:r>
    </w:p>
    <w:p>
      <w:pPr>
        <w:pStyle w:val="Normal"/>
        <w:jc w:val="both"/>
        <w:rPr>
          <w:sz w:val="22"/>
          <w:szCs w:val="17"/>
        </w:rPr>
      </w:pPr>
      <w:r>
        <w:rPr>
          <w:sz w:val="22"/>
          <w:szCs w:val="17"/>
        </w:rPr>
        <w:tab/>
        <w:tab/>
        <w:t>Based upon the foregoing and having regard for such legal considerations as we deem relevant, we are of opinion that:</w:t>
      </w:r>
    </w:p>
    <w:p>
      <w:pPr>
        <w:pStyle w:val="Normal"/>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1.  The Counterparty is a [__________________] duly existing under the laws of Mexico.</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2.  The Counterparty has full corporate power to execute and deliver the Agreement and to perform its obligations thereunder.</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17"/>
        </w:rPr>
      </w:pPr>
      <w:r>
        <w:rPr>
          <w:sz w:val="22"/>
          <w:szCs w:val="17"/>
        </w:rPr>
      </w:r>
    </w:p>
    <w:p>
      <w:pPr>
        <w:pStyle w:val="BodyText"/>
        <w:tabs>
          <w:tab w:val="clear" w:pos="720"/>
          <w:tab w:val="left" w:pos="1440" w:leader="none"/>
        </w:tabs>
        <w:rPr>
          <w:sz w:val="22"/>
          <w:szCs w:val="17"/>
        </w:rPr>
      </w:pPr>
      <w:r>
        <w:rPr>
          <w:sz w:val="22"/>
          <w:szCs w:val="17"/>
        </w:rPr>
        <w:tab/>
        <w:t>6.  The choice of law provision set forth in the Agreement is valid and binding under the laws of Mexico and any political subdivision thereof and would be given effect by the courts of Mexico and any political subdivision thereof.</w:t>
      </w:r>
    </w:p>
    <w:p>
      <w:pPr>
        <w:pStyle w:val="Normal"/>
        <w:tabs>
          <w:tab w:val="clear" w:pos="720"/>
          <w:tab w:val="left" w:pos="1440" w:leader="none"/>
        </w:tabs>
        <w:rPr>
          <w:sz w:val="22"/>
          <w:szCs w:val="17"/>
        </w:rPr>
      </w:pPr>
      <w:r>
        <w:rPr>
          <w:sz w:val="22"/>
          <w:szCs w:val="17"/>
        </w:rPr>
      </w:r>
    </w:p>
    <w:p>
      <w:pPr>
        <w:pStyle w:val="Normal"/>
        <w:keepNext w:val="true"/>
        <w:jc w:val="end"/>
        <w:rPr>
          <w:sz w:val="22"/>
          <w:szCs w:val="17"/>
        </w:rPr>
      </w:pPr>
      <w:r>
        <w:rPr>
          <w:sz w:val="22"/>
          <w:szCs w:val="17"/>
        </w:rPr>
        <w:t>Very truly yours</w:t>
        <w:tab/>
        <w:tab/>
        <w:tab/>
      </w:r>
    </w:p>
    <w:p>
      <w:pPr>
        <w:pStyle w:val="Normal"/>
        <w:keepNext w:val="true"/>
        <w:jc w:val="end"/>
        <w:rPr>
          <w:sz w:val="22"/>
          <w:szCs w:val="17"/>
        </w:rPr>
      </w:pPr>
      <w:r>
        <w:rPr>
          <w:sz w:val="22"/>
          <w:szCs w:val="17"/>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b/>
          <w:sz w:val="22"/>
          <w:szCs w:val="17"/>
        </w:rPr>
      </w:pPr>
      <w:r>
        <w:rPr>
          <w:b/>
          <w:sz w:val="22"/>
          <w:szCs w:val="17"/>
        </w:rPr>
        <w:t>Party B:  Name of Counterparty</w:t>
      </w:r>
    </w:p>
    <w:p>
      <w:pPr>
        <w:pStyle w:val="Normal"/>
        <w:keepNext w:val="true"/>
        <w:jc w:val="center"/>
        <w:rPr>
          <w:b/>
          <w:sz w:val="22"/>
          <w:szCs w:val="17"/>
        </w:rPr>
      </w:pPr>
      <w:r>
        <w:rPr>
          <w:b/>
          <w:sz w:val="22"/>
          <w:szCs w:val="17"/>
        </w:rPr>
      </w:r>
    </w:p>
    <w:p>
      <w:pPr>
        <w:pStyle w:val="Normal"/>
        <w:tabs>
          <w:tab w:val="left" w:pos="720" w:leader="none"/>
          <w:tab w:val="left" w:pos="1170" w:leader="none"/>
        </w:tabs>
        <w:spacing w:lineRule="exact" w:line="480"/>
        <w:jc w:val="both"/>
        <w:rPr>
          <w:b/>
          <w:sz w:val="22"/>
          <w:szCs w:val="17"/>
        </w:rPr>
      </w:pPr>
      <w:r>
        <w:rPr>
          <w:b/>
          <w:sz w:val="22"/>
          <w:szCs w:val="17"/>
        </w:rPr>
        <w:t>I.</w:t>
        <w:tab/>
        <w:t>Tax Representations.</w:t>
      </w:r>
    </w:p>
    <w:p>
      <w:pPr>
        <w:pStyle w:val="Normal"/>
        <w:spacing w:lineRule="exact" w:line="240" w:before="240" w:after="0"/>
        <w:ind w:firstLine="720" w:end="0"/>
        <w:jc w:val="both"/>
        <w:rPr/>
      </w:pPr>
      <w:r>
        <w:rPr>
          <w:bCs/>
          <w:sz w:val="22"/>
          <w:szCs w:val="17"/>
        </w:rPr>
        <w:t>(a)</w:t>
      </w:r>
      <w:r>
        <w:rPr>
          <w:b/>
          <w:sz w:val="22"/>
          <w:szCs w:val="17"/>
        </w:rPr>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sz w:val="22"/>
          <w:szCs w:val="17"/>
        </w:rPr>
        <w:t>(b)</w:t>
      </w:r>
      <w:r>
        <w:rPr>
          <w:b/>
          <w:sz w:val="22"/>
          <w:szCs w:val="17"/>
        </w:rPr>
        <w:tab/>
        <w:t>Payee Representations.</w:t>
      </w:r>
      <w:r>
        <w:rPr>
          <w:sz w:val="22"/>
          <w:szCs w:val="17"/>
        </w:rPr>
        <w:t xml:space="preserve">  For the purpose of Section 3(f) of the ISDA Agreement, Party A and Party B make the following representation:</w:t>
      </w:r>
    </w:p>
    <w:p>
      <w:pPr>
        <w:pStyle w:val="Normal"/>
        <w:spacing w:lineRule="exact" w:line="240" w:before="240" w:after="0"/>
        <w:ind w:start="720" w:end="0"/>
        <w:jc w:val="both"/>
        <w:rPr>
          <w:sz w:val="22"/>
          <w:szCs w:val="17"/>
        </w:rPr>
      </w:pPr>
      <w:r>
        <w:rPr>
          <w:sz w:val="22"/>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ind w:firstLine="720" w:end="0"/>
        <w:jc w:val="both"/>
        <w:rPr/>
      </w:pPr>
      <w:r>
        <w:rPr>
          <w:sz w:val="22"/>
          <w:szCs w:val="17"/>
        </w:rPr>
        <w:t>"</w:t>
      </w:r>
      <w:r>
        <w:rPr>
          <w:b/>
          <w:sz w:val="22"/>
          <w:szCs w:val="17"/>
        </w:rPr>
        <w:t>Specified Treaty</w:t>
      </w:r>
      <w:r>
        <w:rPr>
          <w:sz w:val="22"/>
          <w:szCs w:val="17"/>
        </w:rPr>
        <w:t>" means the income tax treaty between the United States and Mexico.</w:t>
      </w:r>
    </w:p>
    <w:p>
      <w:pPr>
        <w:pStyle w:val="Normal"/>
        <w:spacing w:lineRule="exact" w:line="240" w:before="240" w:after="0"/>
        <w:ind w:firstLine="720" w:end="0"/>
        <w:jc w:val="both"/>
        <w:rPr/>
      </w:pPr>
      <w:r>
        <w:rPr>
          <w:sz w:val="22"/>
          <w:szCs w:val="17"/>
        </w:rPr>
        <w:t>"</w:t>
      </w:r>
      <w:r>
        <w:rPr>
          <w:b/>
          <w:sz w:val="22"/>
          <w:szCs w:val="17"/>
        </w:rPr>
        <w:t>Specified Jurisdiction</w:t>
      </w:r>
      <w:r>
        <w:rPr>
          <w:sz w:val="22"/>
          <w:szCs w:val="17"/>
        </w:rPr>
        <w:t>" means, with respect to Party A, Mexico.</w:t>
      </w:r>
    </w:p>
    <w:p>
      <w:pPr>
        <w:pStyle w:val="Normal"/>
        <w:spacing w:lineRule="exact" w:line="240" w:before="240" w:after="0"/>
        <w:ind w:firstLine="720" w:end="0"/>
        <w:jc w:val="both"/>
        <w:rPr/>
      </w:pPr>
      <w:r>
        <w:rPr>
          <w:sz w:val="22"/>
          <w:szCs w:val="17"/>
        </w:rPr>
        <w:t>"</w:t>
      </w:r>
      <w:r>
        <w:rPr>
          <w:b/>
          <w:sz w:val="22"/>
          <w:szCs w:val="17"/>
        </w:rPr>
        <w:t>Specified Jurisdiction</w:t>
      </w:r>
      <w:r>
        <w:rPr>
          <w:sz w:val="22"/>
          <w:szCs w:val="17"/>
        </w:rPr>
        <w:t>" means, with respect to Party B, the United States.</w:t>
      </w:r>
    </w:p>
    <w:p>
      <w:pPr>
        <w:pStyle w:val="Normal"/>
        <w:spacing w:lineRule="exact" w:line="480"/>
        <w:jc w:val="both"/>
        <w:rPr>
          <w:b/>
          <w:sz w:val="22"/>
          <w:szCs w:val="17"/>
        </w:rPr>
      </w:pPr>
      <w:r>
        <w:rPr>
          <w:b/>
          <w:sz w:val="22"/>
          <w:szCs w:val="17"/>
        </w:rPr>
        <w:t>II.</w:t>
        <w:tab/>
        <w:t>Agreement to Deliver Documents.</w:t>
      </w:r>
    </w:p>
    <w:p>
      <w:pPr>
        <w:pStyle w:val="Normal"/>
        <w:spacing w:lineRule="exact" w:line="240" w:before="240" w:after="0"/>
        <w:ind w:firstLine="720" w:end="0"/>
        <w:jc w:val="both"/>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720" w:end="0"/>
        <w:jc w:val="both"/>
        <w:rPr>
          <w:sz w:val="22"/>
          <w:szCs w:val="17"/>
        </w:rPr>
      </w:pPr>
      <w:r>
        <w:rPr>
          <w:sz w:val="22"/>
          <w:szCs w:val="17"/>
        </w:rPr>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Normal"/>
        <w:jc w:val="center"/>
        <w:rPr>
          <w:b/>
          <w:sz w:val="22"/>
          <w:szCs w:val="17"/>
          <w:u w:val="single"/>
        </w:rPr>
      </w:pPr>
      <w:r>
        <w:rPr>
          <w:b/>
          <w:sz w:val="22"/>
          <w:szCs w:val="17"/>
          <w:u w:val="single"/>
        </w:rPr>
      </w:r>
    </w:p>
    <w:p>
      <w:pPr>
        <w:pStyle w:val="Normal"/>
        <w:jc w:val="center"/>
        <w:rPr>
          <w:b/>
          <w:sz w:val="22"/>
          <w:szCs w:val="17"/>
          <w:u w:val="single"/>
        </w:rPr>
      </w:pPr>
      <w:r>
        <w:rPr>
          <w:b/>
          <w:sz w:val="22"/>
          <w:szCs w:val="17"/>
          <w:u w:val="single"/>
        </w:rPr>
        <w:t>ANNEX B</w:t>
      </w:r>
    </w:p>
    <w:p>
      <w:pPr>
        <w:pStyle w:val="Normal"/>
        <w:jc w:val="center"/>
        <w:rPr>
          <w:b/>
          <w:sz w:val="22"/>
          <w:szCs w:val="17"/>
          <w:u w:val="single"/>
        </w:rPr>
      </w:pPr>
      <w:r>
        <w:rPr>
          <w:b/>
          <w:sz w:val="22"/>
          <w:szCs w:val="17"/>
          <w:u w:val="single"/>
        </w:rPr>
      </w:r>
    </w:p>
    <w:p>
      <w:pPr>
        <w:pStyle w:val="Normal"/>
        <w:jc w:val="center"/>
        <w:rPr>
          <w:b/>
          <w:sz w:val="22"/>
          <w:szCs w:val="17"/>
        </w:rPr>
      </w:pPr>
      <w:r>
        <w:rPr>
          <w:b/>
          <w:sz w:val="22"/>
          <w:szCs w:val="17"/>
        </w:rPr>
        <w:t>CREDIT AND OTHER SPECIAL PROVISIONS</w:t>
      </w:r>
    </w:p>
    <w:p>
      <w:pPr>
        <w:pStyle w:val="Normal"/>
        <w:jc w:val="center"/>
        <w:rPr>
          <w:b/>
          <w:sz w:val="22"/>
          <w:szCs w:val="17"/>
        </w:rPr>
      </w:pPr>
      <w:r>
        <w:rPr>
          <w:b/>
          <w:sz w:val="22"/>
          <w:szCs w:val="17"/>
        </w:rPr>
      </w:r>
    </w:p>
    <w:p>
      <w:pPr>
        <w:pStyle w:val="Normal"/>
        <w:jc w:val="both"/>
        <w:rPr>
          <w:sz w:val="22"/>
          <w:szCs w:val="17"/>
        </w:rPr>
      </w:pPr>
      <w:r>
        <w:rPr>
          <w:sz w:val="22"/>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 w:val="22"/>
          <w:szCs w:val="17"/>
        </w:rPr>
        <w:t>1.</w:t>
        <w:tab/>
      </w:r>
      <w:r>
        <w:rPr>
          <w:sz w:val="22"/>
          <w:szCs w:val="17"/>
          <w:u w:val="single"/>
        </w:rPr>
        <w:t>Additional Events of Default</w:t>
      </w:r>
      <w:r>
        <w:rPr>
          <w:sz w:val="22"/>
          <w:szCs w:val="17"/>
        </w:rPr>
        <w:t>. The following will constitute additional Events of Default for purposes of Section 5(a) of the ISDA Agreement:</w:t>
      </w:r>
    </w:p>
    <w:p>
      <w:pPr>
        <w:pStyle w:val="Normal"/>
        <w:ind w:hanging="720" w:start="720" w:end="0"/>
        <w:jc w:val="both"/>
        <w:rPr>
          <w:b/>
          <w:sz w:val="22"/>
          <w:szCs w:val="17"/>
          <w:u w:val="single"/>
        </w:rPr>
      </w:pPr>
      <w:r>
        <w:rPr>
          <w:b/>
          <w:sz w:val="22"/>
          <w:szCs w:val="17"/>
          <w:u w:val="single"/>
        </w:rPr>
      </w:r>
    </w:p>
    <w:p>
      <w:pPr>
        <w:pStyle w:val="Normal"/>
        <w:ind w:hanging="360" w:start="720" w:end="0"/>
        <w:jc w:val="both"/>
        <w:rPr>
          <w:sz w:val="22"/>
          <w:szCs w:val="17"/>
        </w:rPr>
      </w:pPr>
      <w:r>
        <w:rPr>
          <w:sz w:val="22"/>
          <w:szCs w:val="17"/>
        </w:rPr>
        <w:t>(i)</w:t>
        <w:tab/>
        <w:t>The following Events of Default are added to Section 5(a) of the ISDA Agreement:</w:t>
      </w:r>
    </w:p>
    <w:p>
      <w:pPr>
        <w:pStyle w:val="Normal"/>
        <w:ind w:hanging="720" w:start="720" w:end="0"/>
        <w:jc w:val="both"/>
        <w:rPr>
          <w:sz w:val="22"/>
          <w:szCs w:val="17"/>
        </w:rPr>
      </w:pPr>
      <w:r>
        <w:rPr>
          <w:sz w:val="22"/>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 w:val="22"/>
          <w:szCs w:val="17"/>
        </w:rPr>
      </w:pPr>
      <w:r>
        <w:rPr>
          <w:sz w:val="22"/>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 w:val="22"/>
          <w:szCs w:val="17"/>
        </w:rPr>
      </w:pPr>
      <w:r>
        <w:rPr>
          <w:sz w:val="22"/>
          <w:szCs w:val="17"/>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pPr>
      <w:r>
        <w:rPr>
          <w:sz w:val="22"/>
          <w:szCs w:val="17"/>
        </w:rPr>
        <w:t xml:space="preserve">The "Cross Default provisions of Section 5(a)(vi) of the ISDA Agreement will apply to Counterparty [and Counterparty's Credit Support Provider]; and will apply to ENA.  Specified Indebtedness will have the meaning specified in Section 14 of the ISDA Agreement.  Threshold Amount means: with respect to ENA, U.S. $____________ (or its equivalent in another currency); and with respect to Party B, U.S. $____________ (or its equivalent in another currency)[; and with respect to Party B's Credit Support Provider, U.S. $__________ (or its equivalent in another currency)]; </w:t>
      </w:r>
      <w:r>
        <w:rPr>
          <w:sz w:val="22"/>
          <w:szCs w:val="17"/>
          <w:u w:val="single"/>
        </w:rPr>
        <w:t>provided</w:t>
      </w:r>
      <w:r>
        <w:rPr>
          <w:sz w:val="22"/>
          <w:szCs w:val="17"/>
        </w:rPr>
        <w:t xml:space="preserve">, </w:t>
      </w:r>
      <w:r>
        <w:rPr>
          <w:sz w:val="22"/>
          <w:szCs w:val="17"/>
          <w:u w:val="single"/>
        </w:rPr>
        <w:t>that,</w:t>
      </w:r>
      <w:r>
        <w:rPr>
          <w:sz w:val="22"/>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szCs w:val="17"/>
        </w:rPr>
        <w:t>2.</w:t>
        <w:tab/>
      </w:r>
      <w:r>
        <w:rPr>
          <w:sz w:val="22"/>
          <w:szCs w:val="17"/>
          <w:u w:val="single"/>
        </w:rPr>
        <w:t>Additional General Definitions</w:t>
      </w:r>
      <w:r>
        <w:rPr>
          <w:sz w:val="22"/>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b/>
          <w:sz w:val="22"/>
          <w:szCs w:val="17"/>
        </w:rPr>
      </w:pPr>
      <w:r>
        <w:rPr>
          <w:i/>
          <w:sz w:val="22"/>
          <w:szCs w:val="17"/>
        </w:rPr>
        <w:t>"</w:t>
      </w:r>
      <w:r>
        <w:rPr>
          <w:i/>
          <w:sz w:val="22"/>
          <w:szCs w:val="17"/>
          <w:u w:val="single"/>
        </w:rPr>
        <w:t>Credit Rating</w:t>
      </w:r>
      <w:r>
        <w:rPr>
          <w:i/>
          <w:sz w:val="22"/>
          <w:szCs w:val="17"/>
        </w:rPr>
        <w:t>"</w:t>
      </w:r>
      <w:r>
        <w:rPr>
          <w:sz w:val="22"/>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sz w:val="22"/>
          <w:szCs w:val="17"/>
        </w:rPr>
      </w:pPr>
      <w:r>
        <w:rPr>
          <w:b/>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Counterparty only, ____________________.</w:t>
      </w:r>
    </w:p>
    <w:p>
      <w:pPr>
        <w:pStyle w:val="Normal"/>
        <w:ind w:start="360" w:end="0"/>
        <w:jc w:val="both"/>
        <w:rPr>
          <w:sz w:val="22"/>
          <w:szCs w:val="17"/>
        </w:rPr>
      </w:pPr>
      <w:r>
        <w:rPr>
          <w:sz w:val="22"/>
          <w:szCs w:val="17"/>
        </w:rPr>
        <w:tab/>
      </w:r>
    </w:p>
    <w:p>
      <w:pPr>
        <w:pStyle w:val="Normal"/>
        <w:ind w:start="360" w:end="0"/>
        <w:jc w:val="both"/>
        <w:rPr/>
      </w:pPr>
      <w:r>
        <w:rPr>
          <w:sz w:val="22"/>
          <w:szCs w:val="17"/>
        </w:rPr>
        <w:t>"</w:t>
      </w:r>
      <w:r>
        <w:rPr>
          <w:i/>
          <w:sz w:val="22"/>
          <w:szCs w:val="17"/>
          <w:u w:val="single"/>
        </w:rPr>
        <w:t>Material Adverse Change</w:t>
      </w:r>
      <w:r>
        <w:rPr>
          <w:i/>
          <w:sz w:val="22"/>
          <w:szCs w:val="17"/>
        </w:rPr>
        <w:t>"</w:t>
      </w:r>
      <w:r>
        <w:rPr>
          <w:sz w:val="22"/>
          <w:szCs w:val="17"/>
        </w:rPr>
        <w:t xml:space="preserve"> means </w:t>
      </w:r>
      <w:r>
        <w:rPr>
          <w:sz w:val="22"/>
          <w:szCs w:val="17"/>
          <w:u w:val="single"/>
        </w:rPr>
        <w:tab/>
        <w:tab/>
        <w:tab/>
        <w:tab/>
        <w:tab/>
      </w:r>
      <w:r>
        <w:rPr>
          <w:sz w:val="22"/>
          <w:szCs w:val="17"/>
        </w:rPr>
        <w:t>.</w:t>
      </w:r>
    </w:p>
    <w:p>
      <w:pPr>
        <w:pStyle w:val="Justified"/>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rFonts w:ascii="Times New Roman" w:hAnsi="Times New Roman" w:cs="Times New Roman"/>
          <w:sz w:val="22"/>
          <w:szCs w:val="17"/>
        </w:rPr>
      </w:pPr>
      <w:r>
        <w:rPr>
          <w:rFonts w:cs="Times New Roman" w:ascii="Times New Roman" w:hAnsi="Times New Roman"/>
          <w:sz w:val="22"/>
          <w:szCs w:val="17"/>
        </w:rPr>
      </w:r>
    </w:p>
    <w:p>
      <w:pPr>
        <w:pStyle w:val="Normal"/>
        <w:ind w:start="360" w:end="0"/>
        <w:jc w:val="both"/>
        <w:rPr/>
      </w:pPr>
      <w:r>
        <w:rPr>
          <w:i/>
          <w:sz w:val="22"/>
          <w:szCs w:val="17"/>
        </w:rPr>
        <w:t>"</w:t>
      </w:r>
      <w:r>
        <w:rPr>
          <w:i/>
          <w:sz w:val="22"/>
          <w:szCs w:val="17"/>
          <w:u w:val="single"/>
        </w:rPr>
        <w:t>Moody's</w:t>
      </w:r>
      <w:r>
        <w:rPr>
          <w:i/>
          <w:sz w:val="22"/>
          <w:szCs w:val="17"/>
        </w:rPr>
        <w:t>"</w:t>
      </w:r>
      <w:r>
        <w:rPr>
          <w:sz w:val="22"/>
          <w:szCs w:val="17"/>
        </w:rPr>
        <w:t xml:space="preserve"> means Moody's Investors Service, Inc. or its successor.</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S&amp;P</w:t>
      </w:r>
      <w:r>
        <w:rPr>
          <w:i/>
          <w:sz w:val="22"/>
          <w:szCs w:val="17"/>
        </w:rPr>
        <w:t>"</w:t>
      </w:r>
      <w:r>
        <w:rPr>
          <w:sz w:val="22"/>
          <w:szCs w:val="17"/>
        </w:rPr>
        <w:t xml:space="preserve"> means the Standard &amp; Poor's Rating Group (a division of McGraw-Hill, Inc.) or its successor.</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i/>
          <w:i/>
          <w:sz w:val="22"/>
          <w:szCs w:val="17"/>
        </w:rPr>
      </w:pPr>
      <w:r>
        <w:rPr>
          <w:i/>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sz w:val="22"/>
          <w:szCs w:val="17"/>
        </w:rPr>
        <w:t>3.</w:t>
        <w:tab/>
      </w:r>
      <w:r>
        <w:rPr>
          <w:sz w:val="22"/>
          <w:szCs w:val="17"/>
          <w:u w:val="single"/>
        </w:rPr>
        <w:t>Credit Support Documents</w:t>
      </w:r>
      <w:r>
        <w:rPr>
          <w:sz w:val="22"/>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u w:val="single"/>
        </w:rPr>
      </w:pPr>
      <w:r>
        <w:rPr>
          <w:b/>
          <w:sz w:val="22"/>
          <w:szCs w:val="17"/>
          <w:u w:val="single"/>
        </w:rPr>
      </w:r>
    </w:p>
    <w:p>
      <w:pPr>
        <w:pStyle w:val="Normal"/>
        <w:ind w:start="360" w:end="0"/>
        <w:jc w:val="both"/>
        <w:rPr/>
      </w:pPr>
      <w:r>
        <w:rPr>
          <w:sz w:val="22"/>
          <w:szCs w:val="17"/>
        </w:rPr>
        <w:t>"</w:t>
      </w:r>
      <w:r>
        <w:rPr>
          <w:sz w:val="22"/>
          <w:szCs w:val="17"/>
          <w:u w:val="single"/>
        </w:rPr>
        <w:t>Credit Support Documents - Collateral Annex</w:t>
      </w:r>
      <w:r>
        <w:rPr>
          <w:sz w:val="22"/>
          <w:szCs w:val="17"/>
        </w:rPr>
        <w:t>.  Counterparty and ENA shall establish, maintain, renew, substitute and increase Performance Assurance as (and only to the extent) required by Annex B-1, which shall be a Credit Support Document."</w:t>
      </w:r>
    </w:p>
    <w:p>
      <w:pPr>
        <w:pStyle w:val="Normal"/>
        <w:jc w:val="both"/>
        <w:rPr>
          <w:sz w:val="22"/>
          <w:szCs w:val="17"/>
        </w:rPr>
      </w:pPr>
      <w:r>
        <w:rPr>
          <w:sz w:val="22"/>
          <w:szCs w:val="17"/>
        </w:rPr>
      </w:r>
    </w:p>
    <w:p>
      <w:pPr>
        <w:pStyle w:val="Normal"/>
        <w:ind w:start="360" w:end="0"/>
        <w:jc w:val="both"/>
        <w:rPr/>
      </w:pPr>
      <w:r>
        <w:rPr>
          <w:sz w:val="22"/>
          <w:szCs w:val="17"/>
        </w:rPr>
        <w:t>"</w:t>
      </w:r>
      <w:r>
        <w:rPr>
          <w:sz w:val="22"/>
          <w:szCs w:val="17"/>
          <w:u w:val="single"/>
        </w:rPr>
        <w:t>Credit Support Documents - Guaranty</w:t>
      </w:r>
      <w:r>
        <w:rPr>
          <w:sz w:val="22"/>
          <w:szCs w:val="17"/>
        </w:rPr>
        <w:t>.  Within two (2) Business Days of the Counterparty's receipt of this Confirmation, Counterparty shall cause to be delivered to ENA a duly executed guaranty (</w:t>
      </w:r>
      <w:r>
        <w:rPr>
          <w:i/>
          <w:sz w:val="22"/>
          <w:szCs w:val="17"/>
        </w:rPr>
        <w:t>"</w:t>
      </w:r>
      <w:r>
        <w:rPr>
          <w:i/>
          <w:sz w:val="22"/>
          <w:szCs w:val="17"/>
          <w:u w:val="single"/>
        </w:rPr>
        <w:t>Guaranty</w:t>
      </w:r>
      <w:r>
        <w:rPr>
          <w:i/>
          <w:sz w:val="22"/>
          <w:szCs w:val="17"/>
        </w:rPr>
        <w:t>"</w:t>
      </w:r>
      <w:r>
        <w:rPr>
          <w:sz w:val="22"/>
          <w:szCs w:val="17"/>
        </w:rPr>
        <w:t xml:space="preserve">) from its Credit Support Provider in favor of ENA in the form attached as Annex B-2, which shall be a Credit Support Document." </w:t>
      </w:r>
    </w:p>
    <w:p>
      <w:pPr>
        <w:pStyle w:val="Normal"/>
        <w:jc w:val="both"/>
        <w:rPr>
          <w:b/>
          <w:sz w:val="22"/>
          <w:szCs w:val="17"/>
          <w:u w:val="single"/>
        </w:rPr>
      </w:pPr>
      <w:r>
        <w:rPr>
          <w:b/>
          <w:sz w:val="22"/>
          <w:szCs w:val="17"/>
          <w:u w:val="single"/>
        </w:rPr>
      </w:r>
    </w:p>
    <w:p>
      <w:pPr>
        <w:pStyle w:val="Normal"/>
        <w:jc w:val="both"/>
        <w:rPr/>
      </w:pPr>
      <w:r>
        <w:rPr>
          <w:sz w:val="22"/>
          <w:szCs w:val="17"/>
        </w:rPr>
        <w:t>4.</w:t>
        <w:tab/>
      </w:r>
      <w:r>
        <w:rPr>
          <w:sz w:val="22"/>
          <w:szCs w:val="17"/>
          <w:u w:val="single"/>
        </w:rPr>
        <w:t>Financial Information</w:t>
      </w:r>
      <w:r>
        <w:rPr>
          <w:sz w:val="22"/>
          <w:szCs w:val="17"/>
        </w:rPr>
        <w:t>.</w:t>
      </w:r>
    </w:p>
    <w:p>
      <w:pPr>
        <w:pStyle w:val="Normal"/>
        <w:ind w:hanging="720" w:start="720" w:end="0"/>
        <w:jc w:val="both"/>
        <w:rPr>
          <w:b/>
          <w:sz w:val="22"/>
          <w:szCs w:val="17"/>
        </w:rPr>
      </w:pPr>
      <w:r>
        <w:rPr>
          <w:b/>
          <w:sz w:val="22"/>
          <w:szCs w:val="17"/>
        </w:rPr>
      </w:r>
    </w:p>
    <w:p>
      <w:pPr>
        <w:pStyle w:val="Normal"/>
        <w:jc w:val="both"/>
        <w:rPr>
          <w:sz w:val="22"/>
          <w:szCs w:val="17"/>
        </w:rPr>
      </w:pPr>
      <w:r>
        <w:rPr>
          <w:sz w:val="22"/>
          <w:szCs w:val="17"/>
        </w:rPr>
        <w:tab/>
        <w:t>The following documents are hereby required to be delivered purusant to Section 4(a) of the ISDA Agreement:</w:t>
      </w:r>
    </w:p>
    <w:p>
      <w:pPr>
        <w:pStyle w:val="Normal"/>
        <w:jc w:val="both"/>
        <w:rPr>
          <w:sz w:val="22"/>
          <w:szCs w:val="17"/>
        </w:rPr>
      </w:pPr>
      <w:r>
        <w:rPr>
          <w:sz w:val="22"/>
          <w:szCs w:val="17"/>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szCs w:val="17"/>
        </w:rPr>
        <w:t>"(iv)</w:t>
        <w:tab/>
        <w:t>Upon written request, each party shall deliver to the other (i) as soon as available and in any event within 120 days after the end of its [Credit Support Provider's] (or in the case of ENA, Enron Corp.'s) fiscal year a copy of its [Credit Support Provider's]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xml:space="preserve">), and further with respect to ENA, only if Enron Corp.'s annual consolidated financial statements are not available on "EDGAR" or Enron Corp.'s home page on the World Wide Web at www.enron.com; </w:t>
      </w:r>
      <w:r>
        <w:rPr>
          <w:sz w:val="22"/>
          <w:szCs w:val="15"/>
        </w:rPr>
        <w:t xml:space="preserve"> </w:t>
      </w:r>
      <w:r>
        <w:rPr>
          <w:sz w:val="22"/>
          <w:szCs w:val="17"/>
        </w:rPr>
        <w:t>(ii) as soon as available and in any event within sixty (60) days after the end of each of its [Credit Support Provider's] (or in the case of ENA, Enron Corp.'s) first three fiscal quarters of each fiscal year, copies of its [Credit Support Provider's]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w:t>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(i) ENA, U.S. $</w:t>
      </w:r>
      <w:r>
        <w:rPr>
          <w:sz w:val="22"/>
          <w:szCs w:val="17"/>
          <w:u w:val="single"/>
        </w:rPr>
        <w:t xml:space="preserve">                  </w:t>
      </w:r>
      <w:r>
        <w:rPr>
          <w:sz w:val="22"/>
          <w:szCs w:val="17"/>
        </w:rPr>
        <w:t xml:space="preserve"> and (ii) Counterparty, U.S. $______________;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w:t>
      </w:r>
      <w:r>
        <w:rPr>
          <w:sz w:val="22"/>
          <w:szCs w:val="17"/>
          <w:u w:val="single"/>
        </w:rPr>
        <w:tab/>
        <w:tab/>
      </w:r>
      <w:r>
        <w:rPr>
          <w:sz w:val="22"/>
          <w:szCs w:val="17"/>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On any Business Day (but no more frequently than weekly), a party (the "</w:t>
      </w:r>
      <w:r>
        <w:rPr>
          <w:color w:val="000000"/>
          <w:sz w:val="22"/>
          <w:szCs w:val="17"/>
          <w:u w:val="single"/>
        </w:rPr>
        <w:t>Requesting Party</w:t>
      </w:r>
      <w:r>
        <w:rPr>
          <w:color w:val="000000"/>
          <w:sz w:val="22"/>
          <w:szCs w:val="17"/>
        </w:rPr>
        <w:t>") that has provided Performance Assurance to the other party (the "</w:t>
      </w:r>
      <w:r>
        <w:rPr>
          <w:color w:val="000000"/>
          <w:sz w:val="22"/>
          <w:szCs w:val="17"/>
          <w:u w:val="single"/>
        </w:rPr>
        <w:t>Non-Requesting Party</w:t>
      </w:r>
      <w:r>
        <w:rPr>
          <w:color w:val="000000"/>
          <w:sz w:val="22"/>
          <w:szCs w:val="17"/>
        </w:rPr>
        <w:t xml:space="preserve">")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szCs w:val="17"/>
        </w:rPr>
      </w:pPr>
      <w:r>
        <w:rPr>
          <w:sz w:val="22"/>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Exposed Party's Rights and Remedies</w:t>
      </w:r>
      <w:r>
        <w:rPr>
          <w:sz w:val="22"/>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2"/>
          <w:szCs w:val="17"/>
        </w:rPr>
      </w:pPr>
      <w:r>
        <w:rPr>
          <w:sz w:val="22"/>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8"/>
          <w:headerReference w:type="first" r:id="rId19"/>
          <w:footerReference w:type="default" r:id="rId20"/>
          <w:footerReference w:type="first" r:id="rId21"/>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r>
    </w:p>
    <w:p>
      <w:pPr>
        <w:pStyle w:val="Normal"/>
        <w:jc w:val="center"/>
        <w:rPr>
          <w:sz w:val="22"/>
          <w:szCs w:val="17"/>
        </w:rPr>
      </w:pPr>
      <w:r>
        <w:rPr>
          <w:b/>
          <w:sz w:val="22"/>
          <w:szCs w:val="17"/>
          <w:u w:val="single"/>
        </w:rPr>
        <w:t>SCHEDULE 1</w:t>
      </w:r>
    </w:p>
    <w:p>
      <w:pPr>
        <w:pStyle w:val="Normal"/>
        <w:jc w:val="center"/>
        <w:rPr>
          <w:sz w:val="22"/>
          <w:szCs w:val="17"/>
        </w:rPr>
      </w:pPr>
      <w:r>
        <w:rPr>
          <w:sz w:val="22"/>
          <w:szCs w:val="17"/>
        </w:rPr>
      </w:r>
    </w:p>
    <w:p>
      <w:pPr>
        <w:pStyle w:val="Normal"/>
        <w:jc w:val="center"/>
        <w:rPr>
          <w:sz w:val="22"/>
          <w:szCs w:val="17"/>
        </w:rPr>
      </w:pPr>
      <w:r>
        <w:rPr>
          <w:sz w:val="22"/>
          <w:szCs w:val="17"/>
        </w:rPr>
        <w:t>IRREVOCABLE TRANSFERABLE STANDBY LETTER OF CREDIT FORMAT</w:t>
      </w:r>
    </w:p>
    <w:p>
      <w:pPr>
        <w:pStyle w:val="Normal"/>
        <w:jc w:val="center"/>
        <w:rPr>
          <w:sz w:val="22"/>
          <w:szCs w:val="17"/>
        </w:rPr>
      </w:pPr>
      <w:r>
        <w:rPr>
          <w:sz w:val="22"/>
          <w:szCs w:val="17"/>
        </w:rPr>
        <w:t xml:space="preserve">DATE OF ISSUANCE:  </w:t>
      </w:r>
      <w:r>
        <w:rPr>
          <w:sz w:val="22"/>
          <w:szCs w:val="17"/>
          <w:u w:val="single"/>
        </w:rPr>
        <w:tab/>
        <w:tab/>
        <w:tab/>
      </w:r>
    </w:p>
    <w:p>
      <w:pPr>
        <w:pStyle w:val="Normal"/>
        <w:rPr>
          <w:sz w:val="22"/>
          <w:szCs w:val="17"/>
        </w:rPr>
      </w:pPr>
      <w:r>
        <w:rPr>
          <w:sz w:val="22"/>
          <w:szCs w:val="17"/>
        </w:rPr>
        <w:t>[Address]</w:t>
      </w:r>
    </w:p>
    <w:p>
      <w:pPr>
        <w:pStyle w:val="Normal"/>
        <w:rPr>
          <w:sz w:val="22"/>
          <w:szCs w:val="17"/>
        </w:rPr>
      </w:pPr>
      <w:r>
        <w:rPr>
          <w:sz w:val="22"/>
          <w:szCs w:val="17"/>
        </w:rPr>
        <w:tab/>
        <w:t>Re:  Credit No. _______________</w:t>
      </w:r>
    </w:p>
    <w:p>
      <w:pPr>
        <w:pStyle w:val="Normal"/>
        <w:rPr>
          <w:sz w:val="22"/>
          <w:szCs w:val="17"/>
        </w:rPr>
      </w:pPr>
      <w:r>
        <w:rPr>
          <w:sz w:val="22"/>
          <w:szCs w:val="17"/>
        </w:rPr>
      </w:r>
    </w:p>
    <w:p>
      <w:pPr>
        <w:pStyle w:val="Normal"/>
        <w:jc w:val="both"/>
        <w:rPr/>
      </w:pPr>
      <w:r>
        <w:rPr>
          <w:sz w:val="22"/>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17"/>
          <w:u w:val="single"/>
        </w:rPr>
        <w:t>Location</w:t>
      </w:r>
      <w:r>
        <w:rPr>
          <w:sz w:val="22"/>
          <w:szCs w:val="17"/>
        </w:rPr>
        <w:t>) on or before the expiration hereof against presentation to us of one or more of the following statements, dated and signed by a representative of the beneficiary:</w:t>
      </w:r>
    </w:p>
    <w:p>
      <w:pPr>
        <w:pStyle w:val="Normal"/>
        <w:jc w:val="both"/>
        <w:rPr>
          <w:sz w:val="22"/>
          <w:szCs w:val="17"/>
        </w:rPr>
      </w:pPr>
      <w:r>
        <w:rPr>
          <w:sz w:val="22"/>
          <w:szCs w:val="17"/>
        </w:rPr>
      </w:r>
    </w:p>
    <w:p>
      <w:pPr>
        <w:pStyle w:val="Normal"/>
        <w:numPr>
          <w:ilvl w:val="0"/>
          <w:numId w:val="4"/>
        </w:numPr>
        <w:jc w:val="both"/>
        <w:rPr>
          <w:sz w:val="22"/>
          <w:szCs w:val="17"/>
        </w:rPr>
      </w:pPr>
      <w:r>
        <w:rPr>
          <w:sz w:val="22"/>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 w:val="22"/>
          <w:szCs w:val="17"/>
        </w:rPr>
      </w:pPr>
      <w:r>
        <w:rPr>
          <w:sz w:val="22"/>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jc w:val="both"/>
        <w:rPr>
          <w:sz w:val="22"/>
          <w:szCs w:val="17"/>
        </w:rPr>
      </w:pPr>
      <w:r>
        <w:rPr>
          <w:sz w:val="22"/>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szCs w:val="17"/>
        </w:rPr>
      </w:pPr>
      <w:r>
        <w:rPr>
          <w:sz w:val="22"/>
          <w:szCs w:val="17"/>
        </w:rPr>
      </w:r>
    </w:p>
    <w:p>
      <w:pPr>
        <w:pStyle w:val="BodyText2"/>
        <w:rPr>
          <w:color w:val="000000"/>
          <w:sz w:val="22"/>
          <w:szCs w:val="17"/>
        </w:rPr>
      </w:pPr>
      <w:r>
        <w:rPr>
          <w:color w:val="000000"/>
          <w:sz w:val="22"/>
          <w:szCs w:val="17"/>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 w:val="22"/>
          <w:szCs w:val="17"/>
        </w:rPr>
      </w:pPr>
      <w:r>
        <w:rPr>
          <w:color w:val="000000"/>
          <w:sz w:val="22"/>
          <w:szCs w:val="17"/>
        </w:rPr>
      </w:r>
    </w:p>
    <w:p>
      <w:pPr>
        <w:pStyle w:val="BodyText"/>
        <w:ind w:firstLine="720" w:end="0"/>
        <w:rPr>
          <w:sz w:val="22"/>
          <w:szCs w:val="17"/>
        </w:rPr>
      </w:pPr>
      <w:r>
        <w:rPr>
          <w:sz w:val="22"/>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 w:val="22"/>
          <w:szCs w:val="17"/>
        </w:rPr>
      </w:pPr>
      <w:r>
        <w:rPr>
          <w:sz w:val="22"/>
          <w:szCs w:val="17"/>
        </w:rPr>
      </w:r>
    </w:p>
    <w:p>
      <w:pPr>
        <w:pStyle w:val="Normal"/>
        <w:tabs>
          <w:tab w:val="clear" w:pos="720"/>
          <w:tab w:val="left" w:pos="4320" w:leader="none"/>
          <w:tab w:val="left" w:pos="5040" w:leader="none"/>
          <w:tab w:val="left" w:pos="5760" w:leader="none"/>
        </w:tabs>
        <w:ind w:start="5040" w:end="0"/>
        <w:rPr>
          <w:sz w:val="22"/>
          <w:szCs w:val="17"/>
        </w:rPr>
      </w:pPr>
      <w:r>
        <w:rPr>
          <w:sz w:val="22"/>
          <w:szCs w:val="17"/>
        </w:rPr>
        <w:t>[BANK SIGNATURE]</w:t>
      </w:r>
    </w:p>
    <w:sectPr>
      <w:headerReference w:type="default" r:id="rId22"/>
      <w:headerReference w:type="first" r:id="rId23"/>
      <w:footerReference w:type="default" r:id="rId24"/>
      <w:footerReference w:type="first" r:id="rId25"/>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5"/>
      </w:rPr>
    </w:pPr>
    <w:r>
      <w:rPr>
        <w:sz w:val="12"/>
        <w:szCs w:val="15"/>
      </w:rPr>
      <w:fldChar w:fldCharType="begin"/>
    </w:r>
    <w:r>
      <w:rPr>
        <w:sz w:val="12"/>
        <w:szCs w:val="15"/>
      </w:rPr>
      <w:instrText xml:space="preserve"> FILENAME \p </w:instrText>
    </w:r>
    <w:r>
      <w:rPr>
        <w:sz w:val="12"/>
        <w:szCs w:val="15"/>
      </w:rPr>
      <w:fldChar w:fldCharType="separate"/>
    </w:r>
    <w:r>
      <w:rPr>
        <w:sz w:val="12"/>
        <w:szCs w:val="15"/>
      </w:rPr>
      <w:t>/mnt/main-storage/datasets/enron-docs/doc/Mexico_deemed_ISDA_sample.doc</w:t>
    </w:r>
    <w:r>
      <w:rPr>
        <w:sz w:val="12"/>
        <w:szCs w:val="15"/>
      </w:rPr>
      <w:fldChar w:fldCharType="end"/>
    </w:r>
  </w:p>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8</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szCs w:val="15"/>
      </w:rPr>
      <w:fldChar w:fldCharType="begin"/>
    </w:r>
    <w:r>
      <w:rPr>
        <w:rStyle w:val="PageNumber"/>
        <w:sz w:val="12"/>
        <w:szCs w:val="15"/>
      </w:rPr>
      <w:instrText xml:space="preserve"> FILENAME \p </w:instrText>
    </w:r>
    <w:r>
      <w:rPr>
        <w:rStyle w:val="PageNumber"/>
        <w:sz w:val="12"/>
        <w:szCs w:val="15"/>
      </w:rPr>
      <w:fldChar w:fldCharType="separate"/>
    </w:r>
    <w:r>
      <w:rPr>
        <w:rStyle w:val="PageNumber"/>
        <w:sz w:val="12"/>
        <w:szCs w:val="15"/>
      </w:rPr>
      <w:t>/mnt/main-storage/datasets/enron-docs/doc/Mexico_deemed_ISDA_sample.doc</w:t>
    </w:r>
    <w:r>
      <w:rPr>
        <w:rStyle w:val="PageNumber"/>
        <w:sz w:val="12"/>
        <w:szCs w:val="15"/>
      </w:rPr>
      <w:fldChar w:fldCharType="end"/>
    </w:r>
  </w:p>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9</w:t>
    </w:r>
    <w:r>
      <w:rPr>
        <w:rStyle w:val="PageNumber"/>
        <w:sz w:val="15"/>
        <w:szCs w:val="15"/>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szCs w:val="14"/>
      </w:rPr>
    </w:pPr>
    <w:r>
      <w:rPr>
        <w:rStyle w:val="PageNumber"/>
        <w:sz w:val="12"/>
        <w:szCs w:val="14"/>
      </w:rPr>
      <w:fldChar w:fldCharType="begin"/>
    </w:r>
    <w:r>
      <w:rPr>
        <w:rStyle w:val="PageNumber"/>
        <w:sz w:val="12"/>
        <w:szCs w:val="14"/>
      </w:rPr>
      <w:instrText xml:space="preserve"> FILENAME \p </w:instrText>
    </w:r>
    <w:r>
      <w:rPr>
        <w:rStyle w:val="PageNumber"/>
        <w:sz w:val="12"/>
        <w:szCs w:val="14"/>
      </w:rPr>
      <w:fldChar w:fldCharType="separate"/>
    </w:r>
    <w:r>
      <w:rPr>
        <w:rStyle w:val="PageNumber"/>
        <w:sz w:val="12"/>
        <w:szCs w:val="14"/>
      </w:rPr>
      <w:t>/mnt/main-storage/datasets/enron-docs/doc/Mexico_deemed_ISDA_sample.doc</w:t>
    </w:r>
    <w:r>
      <w:rPr>
        <w:rStyle w:val="PageNumber"/>
        <w:sz w:val="12"/>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Exhibit 1</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7"/>
      </w:rPr>
    </w:pPr>
    <w:r>
      <w:rPr>
        <w:sz w:val="12"/>
        <w:szCs w:val="17"/>
      </w:rPr>
      <w:fldChar w:fldCharType="begin"/>
    </w:r>
    <w:r>
      <w:rPr>
        <w:sz w:val="12"/>
        <w:szCs w:val="17"/>
      </w:rPr>
      <w:instrText xml:space="preserve"> FILENAME \p </w:instrText>
    </w:r>
    <w:r>
      <w:rPr>
        <w:sz w:val="12"/>
        <w:szCs w:val="17"/>
      </w:rPr>
      <w:fldChar w:fldCharType="separate"/>
    </w:r>
    <w:r>
      <w:rPr>
        <w:sz w:val="12"/>
        <w:szCs w:val="17"/>
      </w:rPr>
      <w:t>/mnt/main-storage/datasets/enron-docs/doc/Mexico_deemed_ISDA_sample.doc</w:t>
    </w:r>
    <w:r>
      <w:rPr>
        <w:sz w:val="12"/>
        <w:szCs w:val="17"/>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9"/>
      </w:rPr>
    </w:pPr>
    <w:r>
      <w:rPr>
        <w:sz w:val="12"/>
        <w:szCs w:val="19"/>
      </w:rPr>
      <w:fldChar w:fldCharType="begin"/>
    </w:r>
    <w:r>
      <w:rPr>
        <w:sz w:val="12"/>
        <w:szCs w:val="19"/>
      </w:rPr>
      <w:instrText xml:space="preserve"> FILENAME \p </w:instrText>
    </w:r>
    <w:r>
      <w:rPr>
        <w:sz w:val="12"/>
        <w:szCs w:val="19"/>
      </w:rPr>
      <w:fldChar w:fldCharType="separate"/>
    </w:r>
    <w:r>
      <w:rPr>
        <w:sz w:val="12"/>
        <w:szCs w:val="19"/>
      </w:rPr>
      <w:t>/mnt/main-storage/datasets/enron-docs/doc/Mexico_deemed_ISDA_sample.doc</w:t>
    </w:r>
    <w:r>
      <w:rPr>
        <w:sz w:val="12"/>
        <w:szCs w:val="19"/>
      </w:rPr>
      <w:fldChar w:fldCharType="end"/>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szCs w:val="15"/>
      </w:rPr>
    </w:pPr>
    <w:r>
      <w:rPr>
        <w:rStyle w:val="PageNumber"/>
        <w:sz w:val="12"/>
        <w:szCs w:val="15"/>
      </w:rPr>
      <w:fldChar w:fldCharType="begin"/>
    </w:r>
    <w:r>
      <w:rPr>
        <w:rStyle w:val="PageNumber"/>
        <w:sz w:val="12"/>
        <w:szCs w:val="15"/>
      </w:rPr>
      <w:instrText xml:space="preserve"> FILENAME \p </w:instrText>
    </w:r>
    <w:r>
      <w:rPr>
        <w:rStyle w:val="PageNumber"/>
        <w:sz w:val="12"/>
        <w:szCs w:val="15"/>
      </w:rPr>
      <w:fldChar w:fldCharType="separate"/>
    </w:r>
    <w:r>
      <w:rPr>
        <w:rStyle w:val="PageNumber"/>
        <w:sz w:val="12"/>
        <w:szCs w:val="15"/>
      </w:rPr>
      <w:t>/mnt/main-storage/datasets/enron-docs/doc/Mexico_deemed_ISDA_sample.doc</w:t>
    </w:r>
    <w:r>
      <w:rPr>
        <w:rStyle w:val="PageNumber"/>
        <w:sz w:val="12"/>
        <w:szCs w:val="15"/>
      </w:rPr>
      <w:fldChar w:fldCharType="end"/>
    </w:r>
  </w:p>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7</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sz w:val="18"/>
      </w:rPr>
    </w:pPr>
    <w:r>
      <w:rPr>
        <w:b/>
        <w:sz w:val="1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center"/>
      <w:rPr>
        <w:b/>
        <w:sz w:val="18"/>
        <w:szCs w:val="22"/>
      </w:rPr>
    </w:pPr>
    <w:r>
      <w:rPr>
        <w:b/>
        <w:sz w:val="18"/>
        <w:szCs w:val="22"/>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sz w:val="18"/>
      </w:rPr>
    </w:pPr>
    <w:r>
      <w:rPr>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center"/>
      <w:rPr>
        <w:b/>
        <w:sz w:val="18"/>
        <w:szCs w:val="22"/>
      </w:rPr>
    </w:pPr>
    <w:r>
      <w:rPr>
        <w:b/>
        <w:sz w:val="18"/>
        <w:szCs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center"/>
      <w:rPr>
        <w:b/>
        <w:sz w:val="18"/>
        <w:szCs w:val="22"/>
      </w:rPr>
    </w:pPr>
    <w:r>
      <w:rPr>
        <w:b/>
        <w:sz w:val="18"/>
        <w:szCs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center"/>
      <w:rPr>
        <w:b/>
        <w:sz w:val="18"/>
        <w:szCs w:val="22"/>
      </w:rPr>
    </w:pPr>
    <w:r>
      <w:rPr>
        <w:b/>
        <w:sz w:val="18"/>
        <w:szCs w:val="22"/>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sz w:val="18"/>
      </w:rPr>
    </w:pPr>
    <w:r>
      <w:rPr>
        <w:b/>
        <w:sz w:val="18"/>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center"/>
      <w:rPr>
        <w:b/>
        <w:sz w:val="18"/>
        <w:szCs w:val="22"/>
      </w:rPr>
    </w:pPr>
    <w:r>
      <w:rPr>
        <w:b/>
        <w:sz w:val="18"/>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2001-08-02T11:30:00Z</dcterms:created>
  <dc:creator>mheard</dc:creator>
  <dc:description/>
  <dc:language>en-CA</dc:language>
  <cp:lastModifiedBy>spanus</cp:lastModifiedBy>
  <cp:lastPrinted>2001-08-09T08:22:00Z</cp:lastPrinted>
  <dcterms:modified xsi:type="dcterms:W3CDTF">2001-10-26T19:19:00Z</dcterms:modified>
  <cp:revision>7</cp:revision>
  <dc:subject/>
  <dc:title>“DEEMED ISDA” CONFIRMATION</dc:title>
</cp:coreProperties>
</file>