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Methodology for Calculating Market Value</w:t>
      </w:r>
    </w:p>
    <w:p>
      <w:pPr>
        <w:pStyle w:val="Normal"/>
        <w:jc w:val="both"/>
        <w:rPr/>
      </w:pPr>
      <w:r>
        <w:rPr/>
      </w:r>
    </w:p>
    <w:p>
      <w:pPr>
        <w:pStyle w:val="Normal"/>
        <w:jc w:val="both"/>
        <w:rPr/>
      </w:pPr>
      <w:r>
        <w:rPr/>
        <w:t>In accordance with the terms of the Canadian Gas Agreement, ECC attempted to secure from three bona-fide, third party, energy market dealers or trading houses timely market quotes with respect to each of the 11 terminated transactions.  However, in order to obtain three market quotes for all portions of the terminated transactions, it was necessary to approach four bona-fide, third party, energy market dealers or trading houses, resulting in three market quotes for a portion of the transactions and four market quotes for the remainder.  The bids and offers received were then averaged to determine the market quotes for each terminated transaction.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2001-04-24T14:26:00Z</dcterms:created>
  <dc:creator>gjohnst</dc:creator>
  <dc:description/>
  <dc:language>en-CA</dc:language>
  <cp:lastModifiedBy>gjohnst</cp:lastModifiedBy>
  <dcterms:modified xsi:type="dcterms:W3CDTF">2001-04-24T14:34:00Z</dcterms:modified>
  <cp:revision>1</cp:revision>
  <dc:subject/>
  <dc:title>Methodology for Calculating Market Value</dc:title>
</cp:coreProperties>
</file>