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Heading1"/>
        <w:ind w:hanging="0" w:start="0"/>
        <w:rPr/>
      </w:pPr>
      <w:r>
        <w:rPr/>
        <w:t>Methodology for Burdening IAM Projects</w:t>
      </w:r>
    </w:p>
    <w:p>
      <w:pPr>
        <w:pStyle w:val="Normal"/>
        <w:rPr/>
      </w:pPr>
      <w:r>
        <w:rPr/>
      </w:r>
    </w:p>
    <w:p>
      <w:pPr>
        <w:pStyle w:val="Heading2"/>
        <w:ind w:hanging="0" w:start="0"/>
        <w:rPr/>
      </w:pPr>
      <w:r>
        <w:rPr/>
        <w:t>Discount Rate Method</w:t>
      </w:r>
    </w:p>
    <w:p>
      <w:pPr>
        <w:pStyle w:val="Normal"/>
        <w:rPr>
          <w:b/>
          <w:sz w:val="24"/>
        </w:rPr>
      </w:pPr>
      <w:r>
        <w:rPr>
          <w:b/>
          <w:sz w:val="24"/>
        </w:rPr>
      </w:r>
    </w:p>
    <w:p>
      <w:pPr>
        <w:pStyle w:val="Normal"/>
        <w:rPr>
          <w:sz w:val="24"/>
        </w:rPr>
      </w:pPr>
      <w:r>
        <w:rPr>
          <w:sz w:val="24"/>
        </w:rPr>
        <w:t>Due to the large number of independent projects, much of the diversifiable risk cancels out. However, there are other risks, like model risk, that tends to accumulate.  The objective of this methodology is to calculate a discount rate that needs to be used to burden projects to cover for such risks.</w:t>
      </w:r>
    </w:p>
    <w:p>
      <w:pPr>
        <w:pStyle w:val="Normal"/>
        <w:rPr>
          <w:sz w:val="24"/>
        </w:rPr>
      </w:pPr>
      <w:r>
        <w:rPr>
          <w:sz w:val="24"/>
        </w:rPr>
      </w:r>
    </w:p>
    <w:p>
      <w:pPr>
        <w:pStyle w:val="Normal"/>
        <w:rPr>
          <w:sz w:val="24"/>
        </w:rPr>
      </w:pPr>
      <w:r>
        <w:rPr>
          <w:sz w:val="24"/>
        </w:rPr>
        <w:t>We may consider two methodologies to come up with the appropriate discount rate:  (1) CAPM method, and (2) project class method.</w:t>
      </w:r>
    </w:p>
    <w:p>
      <w:pPr>
        <w:pStyle w:val="Normal"/>
        <w:rPr>
          <w:sz w:val="24"/>
        </w:rPr>
      </w:pPr>
      <w:r>
        <w:rPr>
          <w:sz w:val="24"/>
        </w:rPr>
      </w:r>
    </w:p>
    <w:p>
      <w:pPr>
        <w:pStyle w:val="Heading2"/>
        <w:ind w:hanging="0" w:start="0"/>
        <w:rPr>
          <w:b w:val="false"/>
          <w:i/>
          <w:i/>
        </w:rPr>
      </w:pPr>
      <w:r>
        <w:rPr>
          <w:b w:val="false"/>
          <w:i/>
        </w:rPr>
        <w:t>CAPM Method</w:t>
      </w:r>
    </w:p>
    <w:p>
      <w:pPr>
        <w:pStyle w:val="Normal"/>
        <w:rPr>
          <w:b/>
          <w:i/>
          <w:i/>
          <w:sz w:val="24"/>
        </w:rPr>
      </w:pPr>
      <w:r>
        <w:rPr>
          <w:b/>
          <w:i/>
          <w:sz w:val="24"/>
        </w:rPr>
      </w:r>
    </w:p>
    <w:p>
      <w:pPr>
        <w:pStyle w:val="Normal"/>
        <w:rPr>
          <w:sz w:val="24"/>
        </w:rPr>
      </w:pPr>
      <w:r>
        <w:rPr>
          <w:sz w:val="24"/>
        </w:rPr>
        <w:t>This is the easier method.  Here, we would determine a “beta” between the specific industry (EES or at project class level) and the market in general. The discount rate is calculated using the following relation:</w:t>
      </w:r>
    </w:p>
    <w:p>
      <w:pPr>
        <w:pStyle w:val="Normal"/>
        <w:rPr>
          <w:sz w:val="24"/>
        </w:rPr>
      </w:pPr>
      <w:r>
        <w:rPr>
          <w:sz w:val="24"/>
        </w:rPr>
      </w:r>
    </w:p>
    <w:p>
      <w:pPr>
        <w:pStyle w:val="Normal"/>
        <w:rPr/>
      </w:pPr>
      <w:r>
        <w:rPr>
          <w:sz w:val="24"/>
        </w:rPr>
        <w:t xml:space="preserve">    </w:t>
      </w:r>
      <w:r>
        <w:rPr>
          <w:sz w:val="32"/>
        </w:rPr>
        <w:t xml:space="preserve"> </w:t>
      </w:r>
      <w:r>
        <w:rPr>
          <w:sz w:val="40"/>
        </w:rPr>
        <w:t>r</w:t>
      </w:r>
      <w:r>
        <w:rPr>
          <w:sz w:val="24"/>
        </w:rPr>
        <w:t xml:space="preserve"> </w:t>
      </w:r>
      <w:r>
        <w:rPr>
          <w:sz w:val="16"/>
        </w:rPr>
        <w:t>EES</w:t>
      </w:r>
      <w:r>
        <w:rPr>
          <w:sz w:val="24"/>
        </w:rPr>
        <w:t xml:space="preserve">= </w:t>
      </w:r>
      <w:r>
        <w:rPr>
          <w:sz w:val="40"/>
        </w:rPr>
        <w:t>r</w:t>
      </w:r>
      <w:r>
        <w:rPr>
          <w:sz w:val="16"/>
        </w:rPr>
        <w:t xml:space="preserve">risk_free </w:t>
      </w:r>
      <w:r>
        <w:rPr>
          <w:sz w:val="24"/>
        </w:rPr>
        <w:t>+ “beta” * (</w:t>
      </w:r>
      <w:r>
        <w:rPr>
          <w:sz w:val="40"/>
        </w:rPr>
        <w:t>r</w:t>
      </w:r>
      <w:r>
        <w:rPr>
          <w:sz w:val="16"/>
        </w:rPr>
        <w:t>market</w:t>
      </w:r>
      <w:r>
        <w:rPr>
          <w:sz w:val="24"/>
        </w:rPr>
        <w:t>-</w:t>
      </w:r>
      <w:r>
        <w:rPr>
          <w:sz w:val="40"/>
        </w:rPr>
        <w:t>r</w:t>
      </w:r>
      <w:r>
        <w:rPr>
          <w:sz w:val="16"/>
        </w:rPr>
        <w:t>risk_free</w:t>
      </w:r>
      <w:r>
        <w:rPr>
          <w:sz w:val="24"/>
        </w:rPr>
        <w:t xml:space="preserve">) </w:t>
      </w:r>
    </w:p>
    <w:p>
      <w:pPr>
        <w:pStyle w:val="Normal"/>
        <w:rPr>
          <w:sz w:val="24"/>
        </w:rPr>
      </w:pPr>
      <w:r>
        <w:rPr>
          <w:sz w:val="24"/>
        </w:rPr>
      </w:r>
    </w:p>
    <w:p>
      <w:pPr>
        <w:pStyle w:val="Heading2"/>
        <w:ind w:hanging="0" w:start="0"/>
        <w:rPr>
          <w:b w:val="false"/>
          <w:i/>
          <w:i/>
        </w:rPr>
      </w:pPr>
      <w:r>
        <w:rPr>
          <w:b w:val="false"/>
          <w:i/>
        </w:rPr>
        <w:t>Project Class Method</w:t>
      </w:r>
    </w:p>
    <w:p>
      <w:pPr>
        <w:pStyle w:val="Normal"/>
        <w:rPr>
          <w:b/>
          <w:i/>
          <w:i/>
          <w:sz w:val="24"/>
        </w:rPr>
      </w:pPr>
      <w:r>
        <w:rPr>
          <w:b/>
          <w:i/>
          <w:sz w:val="24"/>
        </w:rPr>
      </w:r>
    </w:p>
    <w:p>
      <w:pPr>
        <w:pStyle w:val="Normal"/>
        <w:rPr>
          <w:sz w:val="24"/>
        </w:rPr>
      </w:pPr>
      <w:r>
        <w:rPr>
          <w:sz w:val="24"/>
        </w:rPr>
        <w:t xml:space="preserve">Divide the IAM projects into major groups like lighting projects, mechanical projects, etc. For the projects that are in the existing IAM portfolio come up with a distribution of value by project class.   Shift this distribution first by the overhead factor for EES.  This distribution needs to be further shifted to account for other risks such as modeling risk. This term is called the penalty premium. </w:t>
      </w:r>
    </w:p>
    <w:p>
      <w:pPr>
        <w:pStyle w:val="Normal"/>
        <w:rPr>
          <w:sz w:val="24"/>
        </w:rPr>
      </w:pPr>
      <w:r>
        <w:rPr>
          <w:sz w:val="24"/>
        </w:rPr>
      </w:r>
    </w:p>
    <w:p>
      <w:pPr>
        <w:pStyle w:val="Normal"/>
        <w:rPr>
          <w:sz w:val="24"/>
        </w:rPr>
      </w:pPr>
      <w:r>
        <w:rPr>
          <w:sz w:val="24"/>
        </w:rPr>
        <w:t xml:space="preserve">Selection of penalty premium is subjective. One can shift the means of curves by a certain proportion of the standard deviation and come up with the premium for the portfolio. Alternatively, pricing models can be rerun setting the application of the curves in different projects to be completely or strongly correlated. </w:t>
      </w:r>
    </w:p>
    <w:p>
      <w:pPr>
        <w:pStyle w:val="Normal"/>
        <w:rPr>
          <w:sz w:val="24"/>
        </w:rPr>
      </w:pPr>
      <w:r>
        <w:rPr>
          <w:sz w:val="24"/>
        </w:rPr>
      </w:r>
    </w:p>
    <w:p>
      <w:pPr>
        <w:pStyle w:val="Normal"/>
        <w:rPr>
          <w:sz w:val="24"/>
        </w:rPr>
      </w:pPr>
      <w:r>
        <w:rPr>
          <w:sz w:val="24"/>
        </w:rPr>
        <w:t>At the end, one is left with a distribution for the portfolio of measures of a certain class which is shifted for  the overhead and the penalty premium. One can imagine this as an independent company that is spun of from EES. Based on this distribution one can determine the probability of loss (probability of the curve below zero) and therefore a credit rating.  That credit rating can then be mapped to a discount rate.</w:t>
      </w:r>
    </w:p>
    <w:p>
      <w:pPr>
        <w:pStyle w:val="Normal"/>
        <w:rPr>
          <w:sz w:val="24"/>
        </w:rPr>
      </w:pPr>
      <w:r>
        <w:rPr>
          <w:sz w:val="24"/>
        </w:rPr>
      </w:r>
    </w:p>
    <w:p>
      <w:pPr>
        <w:pStyle w:val="Normal"/>
        <w:rPr>
          <w:sz w:val="24"/>
        </w:rPr>
      </w:pPr>
      <w:r>
        <w:rPr>
          <w:sz w:val="24"/>
        </w:rPr>
        <w:t xml:space="preserve">The discount rate developed above can be used to burden projects of within the corresponding class. </w:t>
      </w:r>
    </w:p>
    <w:p>
      <w:pPr>
        <w:pStyle w:val="Normal"/>
        <w:rPr>
          <w:sz w:val="24"/>
        </w:rPr>
      </w:pPr>
      <w:r>
        <w:rPr>
          <w:sz w:val="24"/>
        </w:rPr>
      </w:r>
    </w:p>
    <w:p>
      <w:pPr>
        <w:pStyle w:val="Normal"/>
        <w:rPr>
          <w:sz w:val="24"/>
        </w:rPr>
      </w:pPr>
      <w:r>
        <w:rPr>
          <w:sz w:val="24"/>
        </w:rPr>
      </w:r>
    </w:p>
    <w:p>
      <w:pPr>
        <w:pStyle w:val="Normal"/>
        <w:rPr>
          <w:sz w:val="24"/>
        </w:rPr>
      </w:pPr>
      <w:r>
        <w:rPr>
          <w:sz w:val="24"/>
        </w:rPr>
      </w:r>
    </w:p>
    <w:p>
      <w:pPr>
        <w:pStyle w:val="Heading2"/>
        <w:ind w:hanging="0" w:start="0"/>
        <w:rPr/>
      </w:pPr>
      <w:r>
        <w:rPr/>
        <w:t>Alternative Method: Charging for a Put</w:t>
      </w:r>
    </w:p>
    <w:p>
      <w:pPr>
        <w:pStyle w:val="Normal"/>
        <w:rPr>
          <w:sz w:val="24"/>
        </w:rPr>
      </w:pPr>
      <w:r>
        <w:rPr>
          <w:sz w:val="24"/>
        </w:rPr>
      </w:r>
    </w:p>
    <w:p>
      <w:pPr>
        <w:pStyle w:val="Normal"/>
        <w:rPr>
          <w:sz w:val="24"/>
        </w:rPr>
      </w:pPr>
      <w:r>
        <w:rPr>
          <w:sz w:val="24"/>
        </w:rPr>
        <w:t xml:space="preserve">A second approach can be based on the correlated rerun approach mentioned above. A put value can be calculated to cover the desk for the downside of an inaccurate curve. Here the basic assumptions are that: (1) it is more likely that the curve will have an error in the unfavorable direction, and  (2) the uncertainty around the curve can be used as a proxy for the curve error. </w:t>
      </w:r>
    </w:p>
    <w:p>
      <w:pPr>
        <w:pStyle w:val="Normal"/>
        <w:rPr>
          <w:sz w:val="24"/>
        </w:rPr>
      </w:pPr>
      <w:r>
        <w:rPr>
          <w:sz w:val="24"/>
        </w:rPr>
      </w:r>
    </w:p>
    <w:p>
      <w:pPr>
        <w:pStyle w:val="Normal"/>
        <w:rPr>
          <w:sz w:val="24"/>
        </w:rPr>
      </w:pPr>
      <w:r>
        <w:rPr>
          <w:sz w:val="24"/>
        </w:rPr>
        <w:t xml:space="preserve">In this approach the multiplication of the simulation output with the frequency (probability) is integrated from minus infinity to the mean. In other words, the put premium is calculated and this will be the penalty premium to cover curve error.  </w:t>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8"/>
    </w:rPr>
  </w:style>
  <w:style w:type="paragraph" w:styleId="Heading2">
    <w:name w:val="heading 2"/>
    <w:basedOn w:val="Normal"/>
    <w:next w:val="Normal"/>
    <w:qFormat/>
    <w:pPr>
      <w:keepNext w:val="true"/>
      <w:numPr>
        <w:ilvl w:val="1"/>
        <w:numId w:val="1"/>
      </w:numPr>
      <w:outlineLvl w:val="1"/>
    </w:pPr>
    <w:rPr>
      <w:b/>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2001-04-02T19:59:00Z</dcterms:created>
  <dc:creator>osezgen</dc:creator>
  <dc:description/>
  <dc:language>en-CA</dc:language>
  <cp:lastModifiedBy>osezgen</cp:lastModifiedBy>
  <dcterms:modified xsi:type="dcterms:W3CDTF">2001-04-04T18:52:00Z</dcterms:modified>
  <cp:revision>2</cp:revision>
  <dc:subject/>
  <dc:title>Methodology for Burdening IAM Projects</dc:title>
</cp:coreProperties>
</file>