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4"/>
        </w:rPr>
      </w:pPr>
      <w:r>
        <w:rPr>
          <w:rFonts w:cs="Arial" w:ascii="Arial" w:hAnsi="Arial"/>
          <w:b/>
          <w:sz w:val="24"/>
        </w:rPr>
        <w:t>General Terms and Conditions for TNRCC NOx and VOC Emissions with the</w:t>
      </w:r>
    </w:p>
    <w:p>
      <w:pPr>
        <w:pStyle w:val="Normal"/>
        <w:jc w:val="center"/>
        <w:rPr>
          <w:rFonts w:ascii="Arial" w:hAnsi="Arial" w:cs="Arial"/>
          <w:b/>
          <w:sz w:val="22"/>
        </w:rPr>
      </w:pPr>
      <w:r>
        <w:rPr>
          <w:rFonts w:cs="Arial" w:ascii="Arial" w:hAnsi="Arial"/>
          <w:b/>
          <w:sz w:val="24"/>
        </w:rPr>
        <w:t>Enron Methanol Company</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t xml:space="preserve">Enron Global Markets (Emissions) proposes the following structures to the Enron Methanol Company, for TNRCC certified NOx and VOC emissions credits or allowances.  Enron Emissions will be responsible for management of the creation of ERCs or allowances.  </w:t>
      </w:r>
    </w:p>
    <w:p>
      <w:pPr>
        <w:pStyle w:val="Normal"/>
        <w:rPr>
          <w:rFonts w:ascii="Arial" w:hAnsi="Arial" w:cs="Arial"/>
          <w:sz w:val="22"/>
        </w:rPr>
      </w:pPr>
      <w:r>
        <w:rPr>
          <w:rFonts w:cs="Arial" w:ascii="Arial" w:hAnsi="Arial"/>
          <w:sz w:val="22"/>
        </w:rPr>
      </w:r>
    </w:p>
    <w:p>
      <w:pPr>
        <w:pStyle w:val="Normal"/>
        <w:tabs>
          <w:tab w:val="clear" w:pos="720"/>
          <w:tab w:val="left" w:pos="1080" w:leader="none"/>
        </w:tabs>
        <w:ind w:hanging="1080" w:start="1080" w:end="0"/>
        <w:rPr/>
      </w:pPr>
      <w:r>
        <w:rPr>
          <w:rFonts w:cs="Arial" w:ascii="Arial" w:hAnsi="Arial"/>
          <w:b/>
          <w:bCs/>
          <w:sz w:val="22"/>
        </w:rPr>
        <w:t>Quantity:</w:t>
      </w:r>
      <w:r>
        <w:rPr>
          <w:rFonts w:cs="Arial" w:ascii="Arial" w:hAnsi="Arial"/>
          <w:sz w:val="22"/>
        </w:rPr>
        <w:t xml:space="preserve">   All certified emissions credits and/or allowances generated from the shutdown of the Enron Methanol Plant.  Pending TNRCC certification, but based upon the following: </w:t>
      </w:r>
    </w:p>
    <w:p>
      <w:pPr>
        <w:pStyle w:val="Normal"/>
        <w:rPr>
          <w:rFonts w:ascii="Arial" w:hAnsi="Arial" w:cs="Arial"/>
          <w:sz w:val="22"/>
        </w:rPr>
      </w:pPr>
      <w:r>
        <w:rPr>
          <w:rFonts w:cs="Arial" w:ascii="Arial" w:hAnsi="Arial"/>
          <w:sz w:val="22"/>
        </w:rPr>
      </w:r>
    </w:p>
    <w:tbl>
      <w:tblPr>
        <w:tblpPr w:vertAnchor="text" w:horzAnchor="page" w:leftFromText="180" w:rightFromText="180" w:tblpX="2869" w:tblpY="218"/>
        <w:tblW w:w="1980" w:type="dxa"/>
        <w:jc w:val="start"/>
        <w:tblInd w:w="108" w:type="dxa"/>
        <w:tblLayout w:type="fixed"/>
        <w:tblCellMar>
          <w:top w:w="0" w:type="dxa"/>
          <w:start w:w="108" w:type="dxa"/>
          <w:bottom w:w="0" w:type="dxa"/>
          <w:end w:w="108" w:type="dxa"/>
        </w:tblCellMar>
      </w:tblPr>
      <w:tblGrid>
        <w:gridCol w:w="1980"/>
      </w:tblGrid>
      <w:tr>
        <w:trPr>
          <w:trHeight w:val="262" w:hRule="atLeast"/>
        </w:trPr>
        <w:tc>
          <w:tcPr>
            <w:tcW w:w="1980" w:type="dxa"/>
            <w:tcBorders>
              <w:top w:val="double" w:sz="4" w:space="0" w:color="000000"/>
              <w:start w:val="double" w:sz="4" w:space="0" w:color="000000"/>
              <w:bottom w:val="double" w:sz="4" w:space="0" w:color="000000"/>
              <w:end w:val="double" w:sz="4" w:space="0" w:color="000000"/>
            </w:tcBorders>
          </w:tcPr>
          <w:p>
            <w:pPr>
              <w:pStyle w:val="Normal"/>
              <w:jc w:val="center"/>
              <w:rPr/>
            </w:pPr>
            <w:r>
              <w:rPr/>
              <w:t>NOx ERCs (tons)</w:t>
            </w:r>
          </w:p>
        </w:tc>
      </w:tr>
      <w:tr>
        <w:trPr>
          <w:trHeight w:val="262" w:hRule="atLeast"/>
        </w:trPr>
        <w:tc>
          <w:tcPr>
            <w:tcW w:w="1980" w:type="dxa"/>
            <w:tcBorders>
              <w:top w:val="double" w:sz="4" w:space="0" w:color="000000"/>
              <w:start w:val="double" w:sz="4" w:space="0" w:color="000000"/>
              <w:bottom w:val="double" w:sz="4" w:space="0" w:color="000000"/>
              <w:end w:val="double" w:sz="4" w:space="0" w:color="000000"/>
            </w:tcBorders>
          </w:tcPr>
          <w:p>
            <w:pPr>
              <w:pStyle w:val="Normal"/>
              <w:jc w:val="center"/>
              <w:rPr/>
            </w:pPr>
            <w:r>
              <w:rPr/>
              <w:t>86</w:t>
            </w:r>
          </w:p>
        </w:tc>
      </w:tr>
    </w:tbl>
    <w:p>
      <w:pPr>
        <w:pStyle w:val="Normal"/>
        <w:rPr>
          <w:rFonts w:ascii="Arial" w:hAnsi="Arial" w:cs="Arial"/>
          <w:sz w:val="22"/>
        </w:rPr>
      </w:pPr>
      <w:r>
        <w:rPr>
          <w:rFonts w:cs="Arial" w:ascii="Arial" w:hAnsi="Arial"/>
          <w:sz w:val="22"/>
        </w:rPr>
      </w:r>
    </w:p>
    <w:tbl>
      <w:tblPr>
        <w:tblpPr w:vertAnchor="text" w:horzAnchor="page" w:leftFromText="180" w:rightFromText="180" w:tblpX="6829" w:tblpY="-24"/>
        <w:tblW w:w="2404" w:type="dxa"/>
        <w:jc w:val="start"/>
        <w:tblInd w:w="108" w:type="dxa"/>
        <w:tblLayout w:type="fixed"/>
        <w:tblCellMar>
          <w:top w:w="0" w:type="dxa"/>
          <w:start w:w="108" w:type="dxa"/>
          <w:bottom w:w="0" w:type="dxa"/>
          <w:end w:w="108" w:type="dxa"/>
        </w:tblCellMar>
      </w:tblPr>
      <w:tblGrid>
        <w:gridCol w:w="829"/>
        <w:gridCol w:w="1575"/>
      </w:tblGrid>
      <w:tr>
        <w:trPr>
          <w:trHeight w:val="261" w:hRule="atLeast"/>
        </w:trPr>
        <w:tc>
          <w:tcPr>
            <w:tcW w:w="829" w:type="dxa"/>
            <w:tcBorders>
              <w:top w:val="double" w:sz="4" w:space="0" w:color="000000"/>
              <w:start w:val="double" w:sz="4" w:space="0" w:color="000000"/>
              <w:bottom w:val="double" w:sz="4" w:space="0" w:color="000000"/>
              <w:end w:val="double" w:sz="4" w:space="0" w:color="000000"/>
            </w:tcBorders>
          </w:tcPr>
          <w:p>
            <w:pPr>
              <w:pStyle w:val="Normal"/>
              <w:jc w:val="center"/>
              <w:rPr>
                <w:rFonts w:ascii="Arial Unicode MS" w:hAnsi="Arial Unicode MS" w:eastAsia="Arial Unicode MS" w:cs="Arial Unicode MS"/>
              </w:rPr>
            </w:pPr>
            <w:r>
              <w:rPr>
                <w:szCs w:val="28"/>
              </w:rPr>
              <w:t>Year</w:t>
            </w:r>
          </w:p>
        </w:tc>
        <w:tc>
          <w:tcPr>
            <w:tcW w:w="1575" w:type="dxa"/>
            <w:tcBorders>
              <w:top w:val="double" w:sz="4" w:space="0" w:color="000000"/>
              <w:start w:val="double" w:sz="4" w:space="0" w:color="000000"/>
              <w:bottom w:val="double" w:sz="4" w:space="0" w:color="000000"/>
              <w:end w:val="double" w:sz="4" w:space="0" w:color="000000"/>
            </w:tcBorders>
          </w:tcPr>
          <w:p>
            <w:pPr>
              <w:pStyle w:val="Normal"/>
              <w:jc w:val="center"/>
              <w:rPr>
                <w:szCs w:val="28"/>
              </w:rPr>
            </w:pPr>
            <w:r>
              <w:rPr>
                <w:szCs w:val="28"/>
              </w:rPr>
              <w:t>NOx Allowances (Tons)</w:t>
            </w:r>
          </w:p>
        </w:tc>
      </w:tr>
      <w:tr>
        <w:trPr>
          <w:trHeight w:val="261" w:hRule="atLeast"/>
        </w:trPr>
        <w:tc>
          <w:tcPr>
            <w:tcW w:w="829" w:type="dxa"/>
            <w:tcBorders>
              <w:top w:val="double" w:sz="4" w:space="0" w:color="000000"/>
              <w:start w:val="double" w:sz="4" w:space="0" w:color="000000"/>
              <w:bottom w:val="double" w:sz="4" w:space="0" w:color="000000"/>
              <w:end w:val="double" w:sz="4" w:space="0" w:color="000000"/>
            </w:tcBorders>
          </w:tcPr>
          <w:p>
            <w:pPr>
              <w:pStyle w:val="Normal"/>
              <w:rPr>
                <w:szCs w:val="28"/>
              </w:rPr>
            </w:pPr>
            <w:r>
              <w:rPr>
                <w:szCs w:val="28"/>
              </w:rPr>
              <w:t>2002</w:t>
            </w:r>
          </w:p>
        </w:tc>
        <w:tc>
          <w:tcPr>
            <w:tcW w:w="1575" w:type="dxa"/>
            <w:tcBorders>
              <w:top w:val="double" w:sz="4" w:space="0" w:color="000000"/>
              <w:start w:val="double" w:sz="4" w:space="0" w:color="000000"/>
              <w:bottom w:val="double" w:sz="4" w:space="0" w:color="000000"/>
              <w:end w:val="double" w:sz="4" w:space="0" w:color="000000"/>
            </w:tcBorders>
          </w:tcPr>
          <w:p>
            <w:pPr>
              <w:pStyle w:val="Normal"/>
              <w:jc w:val="center"/>
              <w:rPr>
                <w:szCs w:val="28"/>
              </w:rPr>
            </w:pPr>
            <w:r>
              <w:rPr>
                <w:szCs w:val="28"/>
              </w:rPr>
              <w:t>2531</w:t>
            </w:r>
          </w:p>
        </w:tc>
      </w:tr>
      <w:tr>
        <w:trPr>
          <w:trHeight w:val="261" w:hRule="atLeast"/>
        </w:trPr>
        <w:tc>
          <w:tcPr>
            <w:tcW w:w="829" w:type="dxa"/>
            <w:tcBorders>
              <w:top w:val="double" w:sz="4" w:space="0" w:color="000000"/>
              <w:start w:val="double" w:sz="4" w:space="0" w:color="000000"/>
              <w:bottom w:val="double" w:sz="4" w:space="0" w:color="000000"/>
              <w:end w:val="double" w:sz="4" w:space="0" w:color="000000"/>
            </w:tcBorders>
          </w:tcPr>
          <w:p>
            <w:pPr>
              <w:pStyle w:val="Normal"/>
              <w:rPr>
                <w:szCs w:val="28"/>
              </w:rPr>
            </w:pPr>
            <w:r>
              <w:rPr>
                <w:szCs w:val="28"/>
              </w:rPr>
              <w:t>2003</w:t>
            </w:r>
          </w:p>
        </w:tc>
        <w:tc>
          <w:tcPr>
            <w:tcW w:w="1575" w:type="dxa"/>
            <w:tcBorders>
              <w:top w:val="double" w:sz="4" w:space="0" w:color="000000"/>
              <w:start w:val="double" w:sz="4" w:space="0" w:color="000000"/>
              <w:bottom w:val="double" w:sz="4" w:space="0" w:color="000000"/>
              <w:end w:val="double" w:sz="4" w:space="0" w:color="000000"/>
            </w:tcBorders>
          </w:tcPr>
          <w:p>
            <w:pPr>
              <w:pStyle w:val="Normal"/>
              <w:jc w:val="center"/>
              <w:rPr>
                <w:szCs w:val="28"/>
              </w:rPr>
            </w:pPr>
            <w:r>
              <w:rPr>
                <w:szCs w:val="28"/>
              </w:rPr>
              <w:t>2531</w:t>
            </w:r>
          </w:p>
        </w:tc>
      </w:tr>
      <w:tr>
        <w:trPr>
          <w:trHeight w:val="261" w:hRule="atLeast"/>
        </w:trPr>
        <w:tc>
          <w:tcPr>
            <w:tcW w:w="829" w:type="dxa"/>
            <w:tcBorders>
              <w:top w:val="double" w:sz="4" w:space="0" w:color="000000"/>
              <w:start w:val="double" w:sz="4" w:space="0" w:color="000000"/>
              <w:bottom w:val="double" w:sz="4" w:space="0" w:color="000000"/>
              <w:end w:val="double" w:sz="4" w:space="0" w:color="000000"/>
            </w:tcBorders>
          </w:tcPr>
          <w:p>
            <w:pPr>
              <w:pStyle w:val="Normal"/>
              <w:rPr>
                <w:szCs w:val="28"/>
              </w:rPr>
            </w:pPr>
            <w:r>
              <w:rPr>
                <w:szCs w:val="28"/>
              </w:rPr>
              <w:t>2004</w:t>
            </w:r>
          </w:p>
        </w:tc>
        <w:tc>
          <w:tcPr>
            <w:tcW w:w="1575" w:type="dxa"/>
            <w:tcBorders>
              <w:top w:val="double" w:sz="4" w:space="0" w:color="000000"/>
              <w:start w:val="double" w:sz="4" w:space="0" w:color="000000"/>
              <w:bottom w:val="double" w:sz="4" w:space="0" w:color="000000"/>
              <w:end w:val="double" w:sz="4" w:space="0" w:color="000000"/>
            </w:tcBorders>
          </w:tcPr>
          <w:p>
            <w:pPr>
              <w:pStyle w:val="Normal"/>
              <w:jc w:val="center"/>
              <w:rPr>
                <w:szCs w:val="28"/>
              </w:rPr>
            </w:pPr>
            <w:r>
              <w:rPr>
                <w:szCs w:val="28"/>
              </w:rPr>
              <w:t>1815</w:t>
            </w:r>
          </w:p>
        </w:tc>
      </w:tr>
      <w:tr>
        <w:trPr>
          <w:trHeight w:val="261" w:hRule="atLeast"/>
        </w:trPr>
        <w:tc>
          <w:tcPr>
            <w:tcW w:w="829" w:type="dxa"/>
            <w:tcBorders>
              <w:top w:val="double" w:sz="4" w:space="0" w:color="000000"/>
              <w:start w:val="double" w:sz="4" w:space="0" w:color="000000"/>
              <w:bottom w:val="double" w:sz="4" w:space="0" w:color="000000"/>
              <w:end w:val="double" w:sz="4" w:space="0" w:color="000000"/>
            </w:tcBorders>
          </w:tcPr>
          <w:p>
            <w:pPr>
              <w:pStyle w:val="Normal"/>
              <w:rPr>
                <w:szCs w:val="28"/>
              </w:rPr>
            </w:pPr>
            <w:r>
              <w:rPr>
                <w:szCs w:val="28"/>
              </w:rPr>
              <w:t>2005</w:t>
            </w:r>
          </w:p>
        </w:tc>
        <w:tc>
          <w:tcPr>
            <w:tcW w:w="1575" w:type="dxa"/>
            <w:tcBorders>
              <w:top w:val="double" w:sz="4" w:space="0" w:color="000000"/>
              <w:start w:val="double" w:sz="4" w:space="0" w:color="000000"/>
              <w:bottom w:val="double" w:sz="4" w:space="0" w:color="000000"/>
              <w:end w:val="double" w:sz="4" w:space="0" w:color="000000"/>
            </w:tcBorders>
          </w:tcPr>
          <w:p>
            <w:pPr>
              <w:pStyle w:val="Normal"/>
              <w:jc w:val="center"/>
              <w:rPr>
                <w:szCs w:val="28"/>
              </w:rPr>
            </w:pPr>
            <w:r>
              <w:rPr>
                <w:szCs w:val="28"/>
              </w:rPr>
              <w:t>1064</w:t>
            </w:r>
          </w:p>
        </w:tc>
      </w:tr>
      <w:tr>
        <w:trPr>
          <w:trHeight w:val="261" w:hRule="atLeast"/>
        </w:trPr>
        <w:tc>
          <w:tcPr>
            <w:tcW w:w="829" w:type="dxa"/>
            <w:tcBorders>
              <w:top w:val="double" w:sz="4" w:space="0" w:color="000000"/>
              <w:start w:val="double" w:sz="4" w:space="0" w:color="000000"/>
              <w:bottom w:val="double" w:sz="4" w:space="0" w:color="000000"/>
              <w:end w:val="double" w:sz="4" w:space="0" w:color="000000"/>
            </w:tcBorders>
          </w:tcPr>
          <w:p>
            <w:pPr>
              <w:pStyle w:val="Normal"/>
              <w:rPr>
                <w:szCs w:val="28"/>
              </w:rPr>
            </w:pPr>
            <w:r>
              <w:rPr>
                <w:szCs w:val="28"/>
              </w:rPr>
              <w:t>2006</w:t>
            </w:r>
          </w:p>
        </w:tc>
        <w:tc>
          <w:tcPr>
            <w:tcW w:w="1575" w:type="dxa"/>
            <w:tcBorders>
              <w:top w:val="double" w:sz="4" w:space="0" w:color="000000"/>
              <w:start w:val="double" w:sz="4" w:space="0" w:color="000000"/>
              <w:bottom w:val="double" w:sz="4" w:space="0" w:color="000000"/>
              <w:end w:val="double" w:sz="4" w:space="0" w:color="000000"/>
            </w:tcBorders>
          </w:tcPr>
          <w:p>
            <w:pPr>
              <w:pStyle w:val="Normal"/>
              <w:jc w:val="center"/>
              <w:rPr>
                <w:szCs w:val="28"/>
              </w:rPr>
            </w:pPr>
            <w:r>
              <w:rPr>
                <w:szCs w:val="28"/>
              </w:rPr>
              <w:t>689</w:t>
            </w:r>
          </w:p>
        </w:tc>
      </w:tr>
      <w:tr>
        <w:trPr>
          <w:trHeight w:val="261" w:hRule="atLeast"/>
        </w:trPr>
        <w:tc>
          <w:tcPr>
            <w:tcW w:w="829" w:type="dxa"/>
            <w:tcBorders>
              <w:top w:val="double" w:sz="4" w:space="0" w:color="000000"/>
              <w:start w:val="double" w:sz="4" w:space="0" w:color="000000"/>
              <w:bottom w:val="double" w:sz="4" w:space="0" w:color="000000"/>
              <w:end w:val="double" w:sz="4" w:space="0" w:color="000000"/>
            </w:tcBorders>
          </w:tcPr>
          <w:p>
            <w:pPr>
              <w:pStyle w:val="Normal"/>
              <w:rPr>
                <w:szCs w:val="28"/>
              </w:rPr>
            </w:pPr>
            <w:r>
              <w:rPr>
                <w:szCs w:val="28"/>
              </w:rPr>
              <w:t>2007</w:t>
            </w:r>
          </w:p>
        </w:tc>
        <w:tc>
          <w:tcPr>
            <w:tcW w:w="1575" w:type="dxa"/>
            <w:tcBorders>
              <w:top w:val="double" w:sz="4" w:space="0" w:color="000000"/>
              <w:start w:val="double" w:sz="4" w:space="0" w:color="000000"/>
              <w:bottom w:val="double" w:sz="4" w:space="0" w:color="000000"/>
              <w:end w:val="double" w:sz="4" w:space="0" w:color="000000"/>
            </w:tcBorders>
          </w:tcPr>
          <w:p>
            <w:pPr>
              <w:pStyle w:val="Normal"/>
              <w:jc w:val="center"/>
              <w:rPr>
                <w:szCs w:val="28"/>
              </w:rPr>
            </w:pPr>
            <w:r>
              <w:rPr>
                <w:szCs w:val="28"/>
              </w:rPr>
              <w:t>212</w:t>
            </w:r>
          </w:p>
        </w:tc>
      </w:tr>
      <w:tr>
        <w:trPr>
          <w:trHeight w:val="261" w:hRule="atLeast"/>
        </w:trPr>
        <w:tc>
          <w:tcPr>
            <w:tcW w:w="829" w:type="dxa"/>
            <w:tcBorders>
              <w:top w:val="double" w:sz="4" w:space="0" w:color="000000"/>
              <w:start w:val="double" w:sz="4" w:space="0" w:color="000000"/>
              <w:bottom w:val="double" w:sz="4" w:space="0" w:color="000000"/>
              <w:end w:val="double" w:sz="4" w:space="0" w:color="000000"/>
            </w:tcBorders>
          </w:tcPr>
          <w:p>
            <w:pPr>
              <w:pStyle w:val="Normal"/>
              <w:rPr>
                <w:szCs w:val="28"/>
              </w:rPr>
            </w:pPr>
            <w:r>
              <w:rPr>
                <w:szCs w:val="28"/>
              </w:rPr>
              <w:t>2008+</w:t>
            </w:r>
          </w:p>
        </w:tc>
        <w:tc>
          <w:tcPr>
            <w:tcW w:w="1575" w:type="dxa"/>
            <w:tcBorders>
              <w:top w:val="double" w:sz="4" w:space="0" w:color="000000"/>
              <w:start w:val="double" w:sz="4" w:space="0" w:color="000000"/>
              <w:bottom w:val="double" w:sz="4" w:space="0" w:color="000000"/>
              <w:end w:val="double" w:sz="4" w:space="0" w:color="000000"/>
            </w:tcBorders>
          </w:tcPr>
          <w:p>
            <w:pPr>
              <w:pStyle w:val="Normal"/>
              <w:jc w:val="center"/>
              <w:rPr>
                <w:szCs w:val="28"/>
              </w:rPr>
            </w:pPr>
            <w:r>
              <w:rPr>
                <w:szCs w:val="28"/>
              </w:rPr>
              <w:t>76</w:t>
            </w:r>
          </w:p>
        </w:tc>
      </w:tr>
    </w:tbl>
    <w:p>
      <w:pPr>
        <w:pStyle w:val="Normal"/>
        <w:tabs>
          <w:tab w:val="left" w:pos="720" w:leader="none"/>
          <w:tab w:val="left" w:pos="3225" w:leader="none"/>
        </w:tabs>
        <w:rPr>
          <w:rFonts w:ascii="Arial" w:hAnsi="Arial" w:cs="Arial"/>
          <w:sz w:val="22"/>
        </w:rPr>
      </w:pPr>
      <w:r/>
      <w:r>
        <w:rPr>
          <w:rFonts w:cs="Arial" w:ascii="Arial" w:hAnsi="Arial"/>
          <w:sz w:val="22"/>
        </w:rPr>
        <w:tab/>
        <w:t xml:space="preserve">     </w:t>
      </w:r>
    </w:p>
    <w:p>
      <w:pPr>
        <w:pStyle w:val="Normal"/>
        <w:tabs>
          <w:tab w:val="left" w:pos="720" w:leader="none"/>
          <w:tab w:val="left" w:pos="3225" w:leader="none"/>
        </w:tabs>
        <w:rPr>
          <w:rFonts w:ascii="Arial" w:hAnsi="Arial" w:eastAsia="Arial" w:cs="Arial"/>
          <w:sz w:val="22"/>
        </w:rPr>
      </w:pPr>
      <w:r>
        <w:rPr>
          <w:rFonts w:eastAsia="Arial" w:cs="Arial" w:ascii="Arial" w:hAnsi="Arial"/>
          <w:sz w:val="22"/>
        </w:rPr>
        <w:t xml:space="preserve">                     </w:t>
      </w:r>
    </w:p>
    <w:p>
      <w:pPr>
        <w:pStyle w:val="Normal"/>
        <w:tabs>
          <w:tab w:val="left" w:pos="720" w:leader="none"/>
          <w:tab w:val="left" w:pos="3600" w:leader="none"/>
        </w:tabs>
        <w:rPr/>
      </w:pPr>
      <w:r>
        <w:rPr>
          <w:rFonts w:eastAsia="Arial" w:cs="Arial" w:ascii="Arial" w:hAnsi="Arial"/>
          <w:sz w:val="22"/>
        </w:rPr>
        <w:t xml:space="preserve">                   </w:t>
      </w:r>
      <w:r>
        <w:rPr>
          <w:rFonts w:eastAsia="Arial" w:cs="Arial" w:ascii="Arial" w:hAnsi="Arial"/>
          <w:sz w:val="18"/>
        </w:rPr>
        <w:t xml:space="preserve">                                                     </w:t>
      </w:r>
      <w:r>
        <w:rPr>
          <w:rFonts w:cs="Arial" w:ascii="Arial" w:hAnsi="Arial"/>
          <w:sz w:val="18"/>
        </w:rPr>
        <w:tab/>
        <w:t xml:space="preserve"> </w:t>
      </w:r>
    </w:p>
    <w:p>
      <w:pPr>
        <w:pStyle w:val="Normal"/>
        <w:rPr>
          <w:rFonts w:ascii="Arial" w:hAnsi="Arial" w:cs="Arial"/>
          <w:sz w:val="22"/>
        </w:rPr>
      </w:pPr>
      <w:r>
        <w:rPr>
          <w:rFonts w:cs="Arial" w:ascii="Arial" w:hAnsi="Arial"/>
          <w:sz w:val="22"/>
        </w:rPr>
      </w:r>
    </w:p>
    <w:p>
      <w:pPr>
        <w:pStyle w:val="Normal"/>
        <w:rPr/>
      </w:pPr>
      <w:r>
        <w:rPr>
          <w:rFonts w:cs="Arial" w:ascii="Arial" w:hAnsi="Arial"/>
          <w:sz w:val="22"/>
        </w:rPr>
        <w:tab/>
        <w:tab/>
        <w:t xml:space="preserve">          </w:t>
      </w:r>
      <w:r>
        <w:rPr>
          <w:rFonts w:cs="Arial" w:ascii="Arial" w:hAnsi="Arial"/>
          <w:sz w:val="18"/>
        </w:rPr>
        <w:t>AND</w:t>
      </w:r>
      <w:r>
        <w:rPr>
          <w:rFonts w:cs="Arial" w:ascii="Arial" w:hAnsi="Arial"/>
          <w:sz w:val="22"/>
        </w:rPr>
        <w:tab/>
        <w:tab/>
        <w:t xml:space="preserve">        </w:t>
      </w:r>
      <w:r>
        <w:rPr>
          <w:rFonts w:cs="Arial" w:ascii="Arial" w:hAnsi="Arial"/>
          <w:sz w:val="18"/>
        </w:rPr>
        <w:t>OR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bl>
      <w:tblPr>
        <w:tblpPr w:vertAnchor="text" w:horzAnchor="page" w:leftFromText="180" w:rightFromText="180" w:tblpX="2869" w:tblpY="66"/>
        <w:tblW w:w="1980" w:type="dxa"/>
        <w:jc w:val="start"/>
        <w:tblInd w:w="108" w:type="dxa"/>
        <w:tblLayout w:type="fixed"/>
        <w:tblCellMar>
          <w:top w:w="0" w:type="dxa"/>
          <w:start w:w="108" w:type="dxa"/>
          <w:bottom w:w="0" w:type="dxa"/>
          <w:end w:w="108" w:type="dxa"/>
        </w:tblCellMar>
      </w:tblPr>
      <w:tblGrid>
        <w:gridCol w:w="1980"/>
      </w:tblGrid>
      <w:tr>
        <w:trPr>
          <w:trHeight w:val="262" w:hRule="atLeast"/>
        </w:trPr>
        <w:tc>
          <w:tcPr>
            <w:tcW w:w="1980" w:type="dxa"/>
            <w:tcBorders>
              <w:top w:val="double" w:sz="4" w:space="0" w:color="000000"/>
              <w:start w:val="double" w:sz="4" w:space="0" w:color="000000"/>
              <w:bottom w:val="double" w:sz="4" w:space="0" w:color="000000"/>
              <w:end w:val="double" w:sz="4" w:space="0" w:color="000000"/>
            </w:tcBorders>
          </w:tcPr>
          <w:p>
            <w:pPr>
              <w:pStyle w:val="Normal"/>
              <w:jc w:val="center"/>
              <w:rPr/>
            </w:pPr>
            <w:r>
              <w:rPr/>
              <w:t>VOC ERCs (tons)</w:t>
            </w:r>
          </w:p>
        </w:tc>
      </w:tr>
      <w:tr>
        <w:trPr>
          <w:trHeight w:val="262" w:hRule="atLeast"/>
        </w:trPr>
        <w:tc>
          <w:tcPr>
            <w:tcW w:w="1980" w:type="dxa"/>
            <w:tcBorders>
              <w:top w:val="double" w:sz="4" w:space="0" w:color="000000"/>
              <w:start w:val="double" w:sz="4" w:space="0" w:color="000000"/>
              <w:bottom w:val="double" w:sz="4" w:space="0" w:color="000000"/>
              <w:end w:val="double" w:sz="4" w:space="0" w:color="000000"/>
            </w:tcBorders>
          </w:tcPr>
          <w:p>
            <w:pPr>
              <w:pStyle w:val="Normal"/>
              <w:jc w:val="center"/>
              <w:rPr/>
            </w:pPr>
            <w:r>
              <w:rPr/>
              <w:t>594</w:t>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2"/>
        <w:ind w:hanging="0" w:start="0"/>
        <w:jc w:val="center"/>
        <w:rPr>
          <w:sz w:val="24"/>
        </w:rPr>
      </w:pPr>
      <w:r>
        <w:rPr>
          <w:sz w:val="24"/>
        </w:rPr>
        <w:t>Emission Allowance/Credit Purchase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Option A:               VOC and NOx Purchase</w:t>
      </w:r>
    </w:p>
    <w:p>
      <w:pPr>
        <w:pStyle w:val="Normal"/>
        <w:rPr>
          <w:rFonts w:ascii="Arial" w:hAnsi="Arial" w:cs="Arial"/>
          <w:sz w:val="22"/>
        </w:rPr>
      </w:pPr>
      <w:r>
        <w:rPr>
          <w:rFonts w:cs="Arial" w:ascii="Arial" w:hAnsi="Arial"/>
          <w:sz w:val="22"/>
        </w:rPr>
        <w:t>Delivery Date:       Immediate delivery</w:t>
      </w:r>
    </w:p>
    <w:p>
      <w:pPr>
        <w:pStyle w:val="Normal"/>
        <w:rPr>
          <w:rFonts w:ascii="Arial" w:hAnsi="Arial" w:cs="Arial"/>
          <w:sz w:val="22"/>
        </w:rPr>
      </w:pPr>
      <w:r>
        <w:rPr>
          <w:rFonts w:cs="Arial" w:ascii="Arial" w:hAnsi="Arial"/>
          <w:sz w:val="22"/>
        </w:rPr>
        <w:t>Term:                    Immediate close</w:t>
      </w:r>
    </w:p>
    <w:p>
      <w:pPr>
        <w:pStyle w:val="Normal"/>
        <w:rPr>
          <w:rFonts w:ascii="Arial" w:hAnsi="Arial" w:cs="Arial"/>
          <w:sz w:val="22"/>
        </w:rPr>
      </w:pPr>
      <w:r>
        <w:rPr>
          <w:rFonts w:cs="Arial" w:ascii="Arial" w:hAnsi="Arial"/>
          <w:sz w:val="22"/>
        </w:rPr>
        <w:t>Price:</w:t>
        <w:tab/>
        <w:t xml:space="preserve">                  $1,750,000</w:t>
      </w:r>
    </w:p>
    <w:p>
      <w:pPr>
        <w:pStyle w:val="Normal"/>
        <w:rPr>
          <w:rFonts w:ascii="Arial" w:hAnsi="Arial" w:cs="Arial"/>
          <w:sz w:val="22"/>
        </w:rPr>
      </w:pPr>
      <w:r>
        <w:rPr>
          <w:rFonts w:cs="Arial" w:ascii="Arial" w:hAnsi="Arial"/>
          <w:sz w:val="22"/>
        </w:rPr>
        <w:t xml:space="preserve">Allowance Seller:  EMC </w:t>
      </w:r>
    </w:p>
    <w:p>
      <w:pPr>
        <w:pStyle w:val="Normal"/>
        <w:rPr>
          <w:rFonts w:ascii="Arial" w:hAnsi="Arial" w:cs="Arial"/>
          <w:sz w:val="22"/>
        </w:rPr>
      </w:pPr>
      <w:r>
        <w:rPr>
          <w:rFonts w:cs="Arial" w:ascii="Arial" w:hAnsi="Arial"/>
          <w:sz w:val="22"/>
        </w:rPr>
        <w:t xml:space="preserve">Allowance Buyer:  EGM Emissions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Option B:               Option VOC Purchase and NOx Revenue Share</w:t>
      </w:r>
    </w:p>
    <w:p>
      <w:pPr>
        <w:pStyle w:val="Normal"/>
        <w:rPr>
          <w:rFonts w:ascii="Arial" w:hAnsi="Arial" w:cs="Arial"/>
          <w:sz w:val="22"/>
        </w:rPr>
      </w:pPr>
      <w:r>
        <w:rPr>
          <w:rFonts w:cs="Arial" w:ascii="Arial" w:hAnsi="Arial"/>
          <w:sz w:val="22"/>
        </w:rPr>
        <w:t>Delivery Date:       Immediate delivery</w:t>
      </w:r>
    </w:p>
    <w:p>
      <w:pPr>
        <w:pStyle w:val="Normal"/>
        <w:rPr>
          <w:rFonts w:ascii="Arial" w:hAnsi="Arial" w:cs="Arial"/>
          <w:sz w:val="22"/>
        </w:rPr>
      </w:pPr>
      <w:r>
        <w:rPr>
          <w:rFonts w:cs="Arial" w:ascii="Arial" w:hAnsi="Arial"/>
          <w:sz w:val="22"/>
        </w:rPr>
        <w:t xml:space="preserve">Term: </w:t>
        <w:tab/>
        <w:tab/>
        <w:t xml:space="preserve">      Until allowances are exhausted</w:t>
      </w:r>
    </w:p>
    <w:p>
      <w:pPr>
        <w:pStyle w:val="Normal"/>
        <w:rPr>
          <w:rFonts w:ascii="Arial" w:hAnsi="Arial" w:cs="Arial"/>
          <w:sz w:val="22"/>
        </w:rPr>
      </w:pPr>
      <w:r>
        <w:rPr>
          <w:rFonts w:cs="Arial" w:ascii="Arial" w:hAnsi="Arial"/>
          <w:sz w:val="22"/>
        </w:rPr>
        <w:t>Price:</w:t>
        <w:tab/>
        <w:t xml:space="preserve">                  $750,000 up front</w:t>
      </w:r>
    </w:p>
    <w:p>
      <w:pPr>
        <w:pStyle w:val="Normal"/>
        <w:rPr>
          <w:rFonts w:ascii="Arial" w:hAnsi="Arial" w:cs="Arial"/>
          <w:sz w:val="22"/>
        </w:rPr>
      </w:pPr>
      <w:r>
        <w:rPr>
          <w:rFonts w:cs="Arial" w:ascii="Arial" w:hAnsi="Arial"/>
          <w:sz w:val="22"/>
        </w:rPr>
        <w:t>Revenue Share     70% EGM/30% EOTT on sales of any NOx credit or allowance</w:t>
        <w:tab/>
        <w:t xml:space="preserve">      </w:t>
      </w:r>
    </w:p>
    <w:p>
      <w:pPr>
        <w:pStyle w:val="Normal"/>
        <w:rPr>
          <w:rFonts w:ascii="Arial" w:hAnsi="Arial" w:cs="Arial"/>
          <w:sz w:val="22"/>
        </w:rPr>
      </w:pPr>
      <w:r>
        <w:rPr>
          <w:rFonts w:cs="Arial" w:ascii="Arial" w:hAnsi="Arial"/>
          <w:sz w:val="22"/>
        </w:rPr>
        <w:t xml:space="preserve">Allowance Seller:  EMC </w:t>
      </w:r>
    </w:p>
    <w:p>
      <w:pPr>
        <w:pStyle w:val="Normal"/>
        <w:rPr>
          <w:rFonts w:ascii="Arial" w:hAnsi="Arial" w:cs="Arial"/>
          <w:sz w:val="22"/>
        </w:rPr>
      </w:pPr>
      <w:r>
        <w:rPr>
          <w:rFonts w:cs="Arial" w:ascii="Arial" w:hAnsi="Arial"/>
          <w:sz w:val="22"/>
        </w:rPr>
        <w:t xml:space="preserve">Allowance Buyer:  EGM Emissions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Trevor Woods</w:t>
      </w:r>
    </w:p>
    <w:p>
      <w:pPr>
        <w:pStyle w:val="Normal"/>
        <w:rPr>
          <w:rFonts w:ascii="Arial" w:hAnsi="Arial" w:cs="Arial"/>
          <w:sz w:val="22"/>
        </w:rPr>
      </w:pPr>
      <w:r>
        <w:rPr>
          <w:rFonts w:cs="Arial" w:ascii="Arial" w:hAnsi="Arial"/>
          <w:sz w:val="22"/>
        </w:rPr>
        <w:t>Enron Emissions Services</w:t>
      </w:r>
    </w:p>
    <w:sectPr>
      <w:footerReference w:type="default" r:id="rId2"/>
      <w:type w:val="nextPage"/>
      <w:pgSz w:w="12240" w:h="15840"/>
      <w:pgMar w:left="1440" w:right="1440" w:gutter="0" w:header="0" w:top="1440" w:footer="864"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iCs/>
        <w:sz w:val="14"/>
      </w:rPr>
    </w:pPr>
    <w:r>
      <w:rPr>
        <w:i/>
        <w:iCs/>
        <w:sz w:val="14"/>
      </w:rPr>
      <w:t>This term proposal is for discussion purposes only to facilitate the negotiation, preparation and execution of a definite agreement.  It is not intended to create a binding or enforceable contract or to be complete and all inclusive of the terms of the related transaction.  This is not an offer or a commitment of Seller or Buyer or any parent or affiliate of either.  The transaction described herein is subject to further review and approval of Seller and Buyer and execution of a definitive agreement containing all appropriate provisions, including but not limited to, those relating to credit and limitation of damages and remedies.</w:t>
    </w:r>
  </w:p>
  <w:p>
    <w:pPr>
      <w:pStyle w:val="Footer"/>
      <w:rPr>
        <w:i/>
        <w:i/>
        <w:iCs/>
        <w:sz w:val="14"/>
      </w:rPr>
    </w:pPr>
    <w:r>
      <w:rPr>
        <w:i/>
        <w:iCs/>
        <w:sz w:val="1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rFonts w:ascii="Arial" w:hAnsi="Arial" w:cs="Arial"/>
      <w:b/>
      <w:bCs/>
      <w:sz w:val="22"/>
      <w:bdr w:val="single" w:sz="4" w:space="0" w:color="000000"/>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0" w:leader="none"/>
      </w:tabs>
      <w:ind w:hanging="0" w:start="2160" w:end="0"/>
    </w:pPr>
    <w:rPr>
      <w:rFonts w:ascii="Arial" w:hAnsi="Arial" w:cs="Arial"/>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2001-11-07T20:44:00Z</dcterms:created>
  <dc:creator>mrodrig</dc:creator>
  <dc:description/>
  <dc:language>en-CA</dc:language>
  <cp:lastModifiedBy>Trevor Woods</cp:lastModifiedBy>
  <cp:lastPrinted>2001-10-11T17:26:00Z</cp:lastPrinted>
  <dcterms:modified xsi:type="dcterms:W3CDTF">2001-11-07T21:01:00Z</dcterms:modified>
  <cp:revision>5</cp:revision>
  <dc:subject/>
  <dc:title>General Terms and Conditions for Coal Supply with</dc:title>
</cp:coreProperties>
</file>