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General Terms and Conditions for TNRCC NOx and VOC Emissions with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Enron Methanol Plant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Enron Global Markets (Emissions) proposes the following structures to the Enron Methanol Company, for TNRCC certified NOx and VOC emissions credits or allowances.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Inherent in the proposal is that Enron Emissions will be the sole decision maker in terms of creating ERCs or allowances. 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Emission Allowance/Credit Purchase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1080" w:leader="none"/>
        </w:tabs>
        <w:ind w:hanging="1080" w:start="1080" w:end="0"/>
        <w:rPr/>
      </w:pPr>
      <w:r>
        <w:rPr>
          <w:rFonts w:cs="Arial" w:ascii="Arial" w:hAnsi="Arial"/>
          <w:sz w:val="22"/>
          <w:u w:val="single"/>
        </w:rPr>
        <w:t>Quantity</w:t>
      </w:r>
      <w:r>
        <w:rPr>
          <w:rFonts w:cs="Arial" w:ascii="Arial" w:hAnsi="Arial"/>
          <w:sz w:val="22"/>
        </w:rPr>
        <w:t xml:space="preserve">:   All certified emissions credits and/or allowances generated from                                                    the shutdown of the Enron Methanol Plant.  Pending TNRCC certification, but based upon the following: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1537335</wp:posOffset>
                </wp:positionH>
                <wp:positionV relativeFrom="paragraph">
                  <wp:posOffset>107315</wp:posOffset>
                </wp:positionV>
                <wp:extent cx="1598930" cy="485140"/>
                <wp:effectExtent l="14605" t="13970" r="14605" b="14605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8760" cy="485280"/>
                          <a:chOff x="0" y="0"/>
                          <a:chExt cx="1598760" cy="485280"/>
                        </a:xfrm>
                      </wpg:grpSpPr>
                      <wps:wsp>
                        <wps:cNvSpPr txBox="1"/>
                        <wps:spPr>
                          <a:xfrm>
                            <a:off x="751680" y="241920"/>
                            <a:ext cx="847080" cy="24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86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241920"/>
                            <a:ext cx="751680" cy="24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Tons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51680" y="0"/>
                            <a:ext cx="847080" cy="24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NOx ERCs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0"/>
                            <a:ext cx="751680" cy="24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720"/>
                            <a:ext cx="1598760" cy="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42640"/>
                            <a:ext cx="159876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85280"/>
                            <a:ext cx="1598760" cy="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20"/>
                            <a:ext cx="0" cy="48456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1680" y="720"/>
                            <a:ext cx="0" cy="48456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98760" y="720"/>
                            <a:ext cx="0" cy="48456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1.05pt;margin-top:8.45pt;width:125.85pt;height:38.15pt" coordorigin="2421,169" coordsize="2517,763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3605;top:550;width:1333;height:38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86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421;top:550;width:1183;height:38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Tons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3605;top:169;width:1333;height:38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NOx ERCs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421;top:169;width:1183;height:380;mso-wrap-style:none;v-text-anchor:middle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szCs w:val="24"/>
                            <w:kern w:val="2"/>
                            <w:sz w:val="24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line id="shape_0" from="2421,170" to="4938,170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  <v:line id="shape_0" from="2421,551" to="4938,551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2421,933" to="4938,933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  <v:line id="shape_0" from="2421,170" to="2421,932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  <v:line id="shape_0" from="3605,170" to="3605,932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4939,170" to="4939,932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-748665</wp:posOffset>
                </wp:positionH>
                <wp:positionV relativeFrom="paragraph">
                  <wp:posOffset>107315</wp:posOffset>
                </wp:positionV>
                <wp:extent cx="1598930" cy="485140"/>
                <wp:effectExtent l="14605" t="13970" r="14605" b="1460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8760" cy="485280"/>
                          <a:chOff x="0" y="0"/>
                          <a:chExt cx="1598760" cy="485280"/>
                        </a:xfrm>
                      </wpg:grpSpPr>
                      <wps:wsp>
                        <wps:cNvSpPr txBox="1"/>
                        <wps:spPr>
                          <a:xfrm>
                            <a:off x="783720" y="241920"/>
                            <a:ext cx="815400" cy="24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594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241920"/>
                            <a:ext cx="783720" cy="24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Tons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83720" y="0"/>
                            <a:ext cx="815400" cy="24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VOC ERCs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0"/>
                            <a:ext cx="783720" cy="24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720"/>
                            <a:ext cx="1598760" cy="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42640"/>
                            <a:ext cx="159876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85280"/>
                            <a:ext cx="1598760" cy="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20"/>
                            <a:ext cx="0" cy="48456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83720" y="720"/>
                            <a:ext cx="0" cy="48456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98760" y="720"/>
                            <a:ext cx="0" cy="48456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58.95pt;margin-top:8.45pt;width:125.9pt;height:38.15pt" coordorigin="-1179,169" coordsize="2518,763">
                <v:shape id="shape_0" stroked="f" o:allowincell="f" style="position:absolute;left:55;top:550;width:1283;height:38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594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-1179;top:550;width:1233;height:38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Tons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5;top:169;width:1283;height:38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VOC ERCs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-1179;top:169;width:1233;height:380;mso-wrap-style:none;v-text-anchor:middle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szCs w:val="24"/>
                            <w:kern w:val="2"/>
                            <w:sz w:val="24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line id="shape_0" from="-1179,170" to="1338,170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  <v:line id="shape_0" from="-1179,551" to="1338,551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-1179,933" to="1338,933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  <v:line id="shape_0" from="-1179,170" to="-1179,932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  <v:line id="shape_0" from="55,170" to="55,932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1339,170" to="1339,932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3709035</wp:posOffset>
                </wp:positionH>
                <wp:positionV relativeFrom="paragraph">
                  <wp:posOffset>107315</wp:posOffset>
                </wp:positionV>
                <wp:extent cx="2361565" cy="1941830"/>
                <wp:effectExtent l="13970" t="14605" r="14605" b="14605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600" cy="1941840"/>
                          <a:chOff x="0" y="0"/>
                          <a:chExt cx="2361600" cy="1941840"/>
                        </a:xfrm>
                      </wpg:grpSpPr>
                      <wps:wsp>
                        <wps:cNvSpPr txBox="1"/>
                        <wps:spPr>
                          <a:xfrm>
                            <a:off x="614160" y="0"/>
                            <a:ext cx="174672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NOx Allowances (Tons)*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0"/>
                            <a:ext cx="61416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14160" y="1699200"/>
                            <a:ext cx="174672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76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1699200"/>
                            <a:ext cx="61416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2008+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14160" y="1456200"/>
                            <a:ext cx="174672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212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1456200"/>
                            <a:ext cx="61416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2007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14160" y="1213560"/>
                            <a:ext cx="174672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689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1213560"/>
                            <a:ext cx="61416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2006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14160" y="970920"/>
                            <a:ext cx="174672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1064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970920"/>
                            <a:ext cx="61416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14160" y="727560"/>
                            <a:ext cx="174672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1815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727560"/>
                            <a:ext cx="61416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2004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14160" y="485280"/>
                            <a:ext cx="174672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2531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485280"/>
                            <a:ext cx="61416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2003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14160" y="242640"/>
                            <a:ext cx="174672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2531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242640"/>
                            <a:ext cx="61416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2002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20" y="0"/>
                            <a:ext cx="2360880" cy="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485280"/>
                            <a:ext cx="23608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727560"/>
                            <a:ext cx="23608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970920"/>
                            <a:ext cx="23608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1213560"/>
                            <a:ext cx="23608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1456200"/>
                            <a:ext cx="23608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1699200"/>
                            <a:ext cx="23608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1941840"/>
                            <a:ext cx="2360880" cy="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0"/>
                            <a:ext cx="0" cy="194184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4520" y="0"/>
                            <a:ext cx="0" cy="194184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61600" y="0"/>
                            <a:ext cx="0" cy="194184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242640"/>
                            <a:ext cx="236088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92.05pt;margin-top:8.45pt;width:185.9pt;height:152.9pt" coordorigin="5841,169" coordsize="3718,3058">
                <v:shape id="shape_0" stroked="f" o:allowincell="f" style="position:absolute;left:6808;top:169;width:2750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NOx Allowances (Tons)*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841;top:169;width:966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Year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808;top:2845;width:2750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76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841;top:2845;width:966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2008+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808;top:2462;width:2750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212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841;top:2462;width:966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2007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808;top:2080;width:2750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689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841;top:2080;width:966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2006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808;top:1698;width:2750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1064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841;top:1698;width:966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2005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808;top:1315;width:2750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1815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841;top:1315;width:966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2004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808;top:933;width:2750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2531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841;top:933;width:966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2003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808;top:551;width:2750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2531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5841;top:551;width:966;height:38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2002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line id="shape_0" from="5842,169" to="9559,169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  <v:line id="shape_0" from="5842,933" to="9559,933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5842,1315" to="9559,1315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5842,1698" to="9559,1698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5842,2080" to="9559,2080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5842,2462" to="9559,2462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5842,2845" to="9559,2845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5842,3227" to="9559,3227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  <v:line id="shape_0" from="5842,169" to="5842,3226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  <v:line id="shape_0" from="6809,169" to="6809,3226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9560,169" to="9560,3226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  <v:line id="shape_0" from="5842,551" to="9559,551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3225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 xml:space="preserve">                 AND                                                  OR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Option A:               Purchase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Delivery Date:       Immediate delivery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Term:                    Immediate close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Price:</w:t>
        <w:tab/>
        <w:t xml:space="preserve">                  $1,250,000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Allowance Seller:  EOTT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Allowance Buyer:  EGM Emissions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Option B:               Purchase with upfront cash and revenue share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Delivery Date:       Immediate delivery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Term: </w:t>
        <w:tab/>
        <w:tab/>
        <w:t xml:space="preserve">      Close through the life of the program or the following terms are met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Price:</w:t>
        <w:tab/>
        <w:t xml:space="preserve">                  $750,000 up front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Revenue Share     30% of the total sale price up to $750,000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Allowance Seller:  EOTT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Allowance Buyer:  EGM Emissions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Option C:               Revenue share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Delivery Date:       Immediate delivery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Term: </w:t>
        <w:tab/>
        <w:tab/>
        <w:t xml:space="preserve">      Close through the life of the program or the following terms are met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Revenue Share     15% of the total sale price up to $2,000,000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Allowance Seller:  EOTT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Allowance Buyer:  EGM Emissions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Proposal submitted by: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Trevor Woods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Manager Emissions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This term proposal is for discussion purposes only to facilitate the negotiation, preparation and execution of a definite agreement.  It is not intended to create a binding or enforceable contract or to be complete and all inclusive of the terms of the related transaction.  This is not an offer or a commitment of Seller or Buyer or any parent or affiliate of either.  The transaction described herein is subject to further review and approval of Seller and Buyer and execution of a definitive agreement containing all appropriate provisions, including but not limited to, those relating to credit and limitation of damages and remedies.</w:t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0" w:leader="none"/>
      </w:tabs>
      <w:ind w:hanging="0" w:start="2160" w:end="0"/>
    </w:pPr>
    <w:rPr>
      <w:rFonts w:ascii="Arial" w:hAnsi="Arial" w:cs="Arial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2001-10-11T17:05:00Z</dcterms:created>
  <dc:creator>mrodrig</dc:creator>
  <dc:description/>
  <dc:language>en-CA</dc:language>
  <cp:lastModifiedBy>Trevor Woods</cp:lastModifiedBy>
  <cp:lastPrinted>2001-10-11T15:34:00Z</cp:lastPrinted>
  <dcterms:modified xsi:type="dcterms:W3CDTF">2001-10-11T18:19:00Z</dcterms:modified>
  <cp:revision>18</cp:revision>
  <dc:subject/>
  <dc:title>General Terms and Conditions for Coal Supply with</dc:title>
</cp:coreProperties>
</file>