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ms Rmn" w:hAnsi="Tms Rmn" w:cs="Tms Rmn"/>
          <w:b/>
          <w:color w:val="000000"/>
          <w:sz w:val="24"/>
          <w:u w:val="single"/>
        </w:rPr>
      </w:pPr>
      <w:r>
        <w:rPr>
          <w:rFonts w:cs="Tms Rmn" w:ascii="Tms Rmn" w:hAnsi="Tms Rmn"/>
          <w:b/>
          <w:color w:val="000000"/>
          <w:sz w:val="24"/>
          <w:u w:val="single"/>
        </w:rPr>
      </w:r>
    </w:p>
    <w:p>
      <w:pPr>
        <w:pStyle w:val="Normal"/>
        <w:spacing w:lineRule="atLeast" w:line="240"/>
        <w:rPr>
          <w:rFonts w:ascii="Tms Rmn" w:hAnsi="Tms Rmn" w:cs="Tms Rmn"/>
          <w:b/>
          <w:color w:val="000000"/>
          <w:sz w:val="24"/>
          <w:u w:val="single"/>
        </w:rPr>
      </w:pPr>
      <w:r>
        <w:rPr>
          <w:rFonts w:cs="Tms Rmn" w:ascii="Tms Rmn" w:hAnsi="Tms Rmn"/>
          <w:b/>
          <w:color w:val="000000"/>
          <w:sz w:val="24"/>
          <w:u w:val="single"/>
        </w:rPr>
      </w:r>
    </w:p>
    <w:p>
      <w:pPr>
        <w:pStyle w:val="Normal"/>
        <w:spacing w:lineRule="atLeast" w:line="240"/>
        <w:rPr>
          <w:rFonts w:ascii="Tms Rmn" w:hAnsi="Tms Rmn" w:cs="Tms Rmn"/>
          <w:color w:val="000000"/>
          <w:sz w:val="24"/>
        </w:rPr>
      </w:pPr>
      <w:r>
        <w:rPr>
          <w:rFonts w:cs="Tms Rmn" w:ascii="Tms Rmn" w:hAnsi="Tms Rmn"/>
          <w:b/>
          <w:color w:val="000000"/>
          <w:sz w:val="24"/>
          <w:u w:val="single"/>
        </w:rPr>
        <w:t>The Enron Methanol Plant</w:t>
      </w:r>
      <w:r>
        <w:rPr>
          <w:rFonts w:cs="Tms Rmn" w:ascii="Tms Rmn" w:hAnsi="Tms Rmn"/>
          <w:color w:val="000000"/>
          <w:sz w:val="24"/>
        </w:rPr>
        <w:t xml:space="preserve">, </w:t>
      </w:r>
      <w:r>
        <w:rPr>
          <w:rFonts w:cs="Tms Rmn" w:ascii="Tms Rmn" w:hAnsi="Tms Rmn"/>
          <w:b/>
          <w:bCs/>
          <w:color w:val="000000"/>
          <w:sz w:val="24"/>
          <w:u w:val="single"/>
        </w:rPr>
        <w:t>Environmental Facts</w:t>
      </w:r>
    </w:p>
    <w:p>
      <w:pPr>
        <w:pStyle w:val="Normal"/>
        <w:spacing w:lineRule="atLeast" w:line="240"/>
        <w:rPr>
          <w:rFonts w:ascii="Tms Rmn" w:hAnsi="Tms Rmn" w:cs="Tms Rmn"/>
          <w:color w:val="000000"/>
          <w:sz w:val="24"/>
        </w:rPr>
      </w:pPr>
      <w:r>
        <w:rPr>
          <w:rFonts w:cs="Tms Rmn" w:ascii="Tms Rmn" w:hAnsi="Tms Rmn"/>
          <w:color w:val="000000"/>
          <w:sz w:val="24"/>
        </w:rPr>
      </w:r>
    </w:p>
    <w:p>
      <w:pPr>
        <w:pStyle w:val="Normal"/>
        <w:spacing w:lineRule="atLeast" w:line="240"/>
        <w:rPr>
          <w:rFonts w:ascii="Tms Rmn" w:hAnsi="Tms Rmn" w:cs="Tms Rmn"/>
          <w:color w:val="000000"/>
          <w:sz w:val="24"/>
        </w:rPr>
      </w:pPr>
      <w:r>
        <w:rPr>
          <w:rFonts w:cs="Tms Rmn" w:ascii="Tms Rmn" w:hAnsi="Tms Rmn"/>
          <w:color w:val="000000"/>
          <w:sz w:val="24"/>
        </w:rPr>
        <w:t>The plant is located on 20 acres in the Pasadena/Deer Park, Texas area, and can produce 125,000,000 gallons of methanol per year from feedstocks of natural gas and oxygen. Most of the emission sources at this facility are authorized under TNRCC air permits and Standard Exemptions. The only exceptions are the uncontrolled reciprocating engines, which predate the Texas Clean Air Act, and are grandfathered. The eight county Houston-Galveston area is not in attainment with the federal ozone air quality standard.  NOx and VOCs are precursors to ozone formation.</w:t>
      </w:r>
    </w:p>
    <w:p>
      <w:pPr>
        <w:pStyle w:val="Normal"/>
        <w:spacing w:lineRule="atLeast" w:line="240"/>
        <w:rPr>
          <w:rFonts w:ascii="Tms Rmn" w:hAnsi="Tms Rmn" w:cs="Tms Rmn"/>
          <w:color w:val="000000"/>
          <w:sz w:val="24"/>
        </w:rPr>
      </w:pPr>
      <w:r>
        <w:rPr>
          <w:rFonts w:cs="Tms Rmn" w:ascii="Tms Rmn" w:hAnsi="Tms Rmn"/>
          <w:color w:val="000000"/>
          <w:sz w:val="24"/>
        </w:rPr>
      </w:r>
    </w:p>
    <w:p>
      <w:pPr>
        <w:pStyle w:val="Normal"/>
        <w:spacing w:lineRule="atLeast" w:line="240"/>
        <w:rPr/>
      </w:pPr>
      <w:r>
        <w:rPr>
          <w:rFonts w:cs="Tms Rmn" w:ascii="Tms Rmn" w:hAnsi="Tms Rmn"/>
          <w:color w:val="000000"/>
          <w:sz w:val="24"/>
        </w:rPr>
        <w:t xml:space="preserve">The major sources of NOx emissions at this plant are a primary reformer (heater) and three grand fathered natural gas-fired reciprocating engines. The reformer is currently controlled with low NOx burners, but the proposed Houston non-attainment regulations will require more combustion controls and Selective Catalytic Reduction (SCR) to attain the strict limit of 0.01 pounds of NOx per MMbtu. The proposed limit for the engines is 0.017 grams per horsepower-hour. Combustion controls and SCR are possible control methods to attain this strict limit, but they are unproven on engines, and it is likely that the engines will be replaced with electric motors. </w:t>
      </w:r>
      <w:r>
        <w:rPr>
          <w:rFonts w:cs="Tms Rmn" w:ascii="Tms Rmn" w:hAnsi="Tms Rmn"/>
          <w:bCs/>
          <w:color w:val="000000"/>
          <w:sz w:val="24"/>
        </w:rPr>
        <w:t xml:space="preserve">The cost estimate for the installation of controls and replacement of the engines </w:t>
      </w:r>
      <w:r>
        <w:rPr>
          <w:rFonts w:cs="Tms Rmn" w:ascii="Tms Rmn" w:hAnsi="Tms Rmn"/>
          <w:color w:val="000000"/>
          <w:sz w:val="24"/>
        </w:rPr>
        <w:t>is $18 million. One third of the reductions must be attained by the end of 2002, two-thirds by the end of 2003, and all reductions must be completed (or emission credits purchased) by December 31, 2004.</w:t>
      </w:r>
    </w:p>
    <w:p>
      <w:pPr>
        <w:pStyle w:val="Normal"/>
        <w:spacing w:lineRule="atLeast" w:line="240"/>
        <w:rPr>
          <w:rFonts w:ascii="Tms Rmn" w:hAnsi="Tms Rmn" w:cs="Tms Rmn"/>
          <w:color w:val="000000"/>
          <w:sz w:val="24"/>
        </w:rPr>
      </w:pPr>
      <w:r>
        <w:rPr>
          <w:rFonts w:cs="Tms Rmn" w:ascii="Tms Rmn" w:hAnsi="Tms Rmn"/>
          <w:color w:val="000000"/>
          <w:sz w:val="24"/>
        </w:rPr>
      </w:r>
    </w:p>
    <w:p>
      <w:pPr>
        <w:pStyle w:val="Normal"/>
        <w:spacing w:lineRule="atLeast" w:line="240"/>
        <w:rPr>
          <w:rFonts w:ascii="Tms Rmn" w:hAnsi="Tms Rmn" w:cs="Tms Rmn"/>
          <w:color w:val="000000"/>
          <w:sz w:val="24"/>
        </w:rPr>
      </w:pPr>
      <w:r>
        <w:rPr>
          <w:rFonts w:cs="Tms Rmn" w:ascii="Tms Rmn" w:hAnsi="Tms Rmn"/>
          <w:color w:val="000000"/>
          <w:sz w:val="24"/>
        </w:rPr>
        <w:t>Major VOC emissions sources at this facility include storage tanks and a marine loading facility. These VOC emissions are permitted by TNRCC. The tank emissions are controlled with scrubbers and the loading facility emissions are controlled by a thermal oxidizing flare.</w:t>
      </w:r>
    </w:p>
    <w:p>
      <w:pPr>
        <w:pStyle w:val="Normal"/>
        <w:spacing w:lineRule="atLeast" w:line="240"/>
        <w:rPr>
          <w:rFonts w:ascii="Tms Rmn" w:hAnsi="Tms Rmn" w:cs="Tms Rmn"/>
          <w:color w:val="000000"/>
          <w:sz w:val="24"/>
        </w:rPr>
      </w:pPr>
      <w:r>
        <w:rPr>
          <w:rFonts w:cs="Tms Rmn" w:ascii="Tms Rmn" w:hAnsi="Tms Rmn"/>
          <w:color w:val="000000"/>
          <w:sz w:val="24"/>
        </w:rPr>
      </w:r>
    </w:p>
    <w:p>
      <w:pPr>
        <w:pStyle w:val="Normal"/>
        <w:spacing w:lineRule="atLeast" w:line="240"/>
        <w:rPr>
          <w:bCs/>
          <w:color w:val="000000"/>
          <w:sz w:val="24"/>
        </w:rPr>
      </w:pPr>
      <w:r>
        <w:rPr>
          <w:rFonts w:cs="Tms Rmn" w:ascii="Tms Rmn" w:hAnsi="Tms Rmn"/>
          <w:bCs/>
          <w:color w:val="000000"/>
          <w:sz w:val="24"/>
        </w:rPr>
        <w:t xml:space="preserve">The 1997 emissions from the methanol plant as indicated in the emissions inventory </w:t>
      </w:r>
      <w:r>
        <w:rPr>
          <w:bCs/>
          <w:color w:val="000000"/>
          <w:sz w:val="24"/>
        </w:rPr>
        <w:t xml:space="preserve">submitted to the Texas Natural Resource Conservation Commission (TNRCC) are 2,710 tons per year of NOx and 654 tons per year of VOC. The NOx emissions represented 2.9 % of the point source NOx emissions in Harris County.  The methanol plant is the ninth greatest point source of NOx emissions in Harris County. The following locations emit more NOx than the methanol plant: Equistar (7,734 tons), Lyondell-Citgo (5,546 tons), Exxon Chemical (2,757 tons), Exxon Co.  (10,901 tons), Calpine (4,114 tons), Lyondell Cogen (5,498 tons), AES Deepwater (3,701 tons), and Bayou Cogen (4,519 tons). The VOC emissions represented 1.7 % of the point source VOC emissions in Harris County and there are 13 locations that emit more VOC emissions than the methanol plant. </w:t>
      </w:r>
      <w:r>
        <w:rPr>
          <w:bCs/>
          <w:sz w:val="24"/>
        </w:rPr>
        <w:t>Point sources comprise about 35% of the VOC emissions and 59% of the NOx emissions in the Houston-Galveston area.</w:t>
      </w:r>
    </w:p>
    <w:p>
      <w:pPr>
        <w:pStyle w:val="Normal"/>
        <w:spacing w:lineRule="atLeast" w:line="240"/>
        <w:rPr>
          <w:rFonts w:ascii="Tms Rmn" w:hAnsi="Tms Rmn" w:cs="Tms Rmn"/>
          <w:bCs/>
          <w:color w:val="000000"/>
          <w:sz w:val="24"/>
        </w:rPr>
      </w:pPr>
      <w:r>
        <w:rPr>
          <w:rFonts w:cs="Tms Rmn" w:ascii="Tms Rmn" w:hAnsi="Tms Rmn"/>
          <w:bCs/>
          <w:color w:val="000000"/>
          <w:sz w:val="24"/>
        </w:rPr>
      </w:r>
    </w:p>
    <w:p>
      <w:pPr>
        <w:pStyle w:val="Normal"/>
        <w:spacing w:lineRule="atLeast" w:line="240"/>
        <w:rPr>
          <w:rFonts w:ascii="Tms Rmn" w:hAnsi="Tms Rmn" w:cs="Tms Rmn"/>
          <w:color w:val="000000"/>
          <w:sz w:val="24"/>
        </w:rPr>
      </w:pPr>
      <w:r>
        <w:rPr>
          <w:rFonts w:cs="Tms Rmn" w:ascii="Tms Rmn" w:hAnsi="Tms Rmn"/>
          <w:color w:val="000000"/>
          <w:sz w:val="24"/>
        </w:rPr>
        <w:t>In 1997, the methanol plant reported to USEPA a toxic release inventory  (TRI) to the atmosphere of 137 tons of toxic compounds. These emissions were reduced to 132 tons in 1998 and 81 tons in 1999. This is a greater than 40% reduction in two years. The reductions were due to better accounting and improved emissions factors.</w:t>
      </w:r>
    </w:p>
    <w:p>
      <w:pPr>
        <w:pStyle w:val="Normal"/>
        <w:spacing w:lineRule="atLeast" w:line="240"/>
        <w:rPr>
          <w:rFonts w:ascii="Tms Rmn" w:hAnsi="Tms Rmn" w:cs="Tms Rmn"/>
          <w:color w:val="000000"/>
          <w:sz w:val="24"/>
        </w:rPr>
      </w:pPr>
      <w:r>
        <w:rPr>
          <w:rFonts w:cs="Tms Rmn" w:ascii="Tms Rmn" w:hAnsi="Tms Rmn"/>
          <w:color w:val="000000"/>
          <w:sz w:val="24"/>
        </w:rPr>
      </w:r>
    </w:p>
    <w:p>
      <w:pPr>
        <w:pStyle w:val="Normal"/>
        <w:spacing w:lineRule="atLeast" w:line="240"/>
        <w:rPr>
          <w:rFonts w:ascii="Tms Rmn" w:hAnsi="Tms Rmn" w:cs="Tms Rmn"/>
          <w:color w:val="000000"/>
          <w:sz w:val="24"/>
        </w:rPr>
      </w:pPr>
      <w:r>
        <w:rPr>
          <w:rFonts w:cs="Tms Rmn" w:ascii="Tms Rmn" w:hAnsi="Tms Rmn"/>
          <w:color w:val="000000"/>
          <w:sz w:val="24"/>
        </w:rPr>
        <w:t>The methanol plant also participates in Clean Texas 2000, an effort to reduce the amount of hazardous and/or toxic waste being generated by 50% by the year 2000. The plant achieved the goal and has gone from a large quantity generator to a conditionally exempt small quantity generator of hazardous wastes.</w:t>
      </w:r>
    </w:p>
    <w:p>
      <w:pPr>
        <w:pStyle w:val="Normal"/>
        <w:rPr>
          <w:rFonts w:ascii="Tms Rmn" w:hAnsi="Tms Rmn" w:cs="Tms Rmn"/>
          <w:color w:val="000000"/>
          <w:sz w:val="24"/>
        </w:rPr>
      </w:pPr>
      <w:r>
        <w:rPr>
          <w:rFonts w:cs="Tms Rmn" w:ascii="Tms Rmn" w:hAnsi="Tms Rmn"/>
          <w:color w:val="000000"/>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2000-10-06T13:00:00Z</dcterms:created>
  <dc:creator>Enron Technology</dc:creator>
  <dc:description/>
  <dc:language>en-CA</dc:language>
  <cp:lastModifiedBy>Michael Terraso</cp:lastModifiedBy>
  <cp:lastPrinted>2000-10-06T10:26:00Z</cp:lastPrinted>
  <dcterms:modified xsi:type="dcterms:W3CDTF">2000-10-06T13:00:00Z</dcterms:modified>
  <cp:revision>2</cp:revision>
  <dc:subject/>
  <dc:title>The MTBE plant, located on 70 acres of land in Morgan's Point, can produce 17,000 barrels per day of MTBE</dc:title>
</cp:coreProperties>
</file>