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0"/>
        </w:rPr>
      </w:pPr>
      <w:r>
        <w:rPr>
          <w:b/>
          <w:bCs/>
          <w:sz w:val="20"/>
        </w:rPr>
        <w:t>Background and Message Points</w:t>
      </w:r>
    </w:p>
    <w:p>
      <w:pPr>
        <w:pStyle w:val="Heading1"/>
        <w:ind w:hanging="0" w:start="0"/>
        <w:rPr>
          <w:sz w:val="20"/>
        </w:rPr>
      </w:pPr>
      <w:r>
        <w:rPr>
          <w:sz w:val="20"/>
        </w:rPr>
        <w:t>CDWR Contracts</w:t>
      </w:r>
    </w:p>
    <w:p>
      <w:pPr>
        <w:pStyle w:val="Normal"/>
        <w:jc w:val="center"/>
        <w:rPr>
          <w:sz w:val="20"/>
        </w:rPr>
      </w:pPr>
      <w:r>
        <w:rPr>
          <w:sz w:val="20"/>
        </w:rPr>
      </w:r>
    </w:p>
    <w:p>
      <w:pPr>
        <w:pStyle w:val="Heading2"/>
        <w:ind w:hanging="0" w:start="0"/>
        <w:rPr/>
      </w:pPr>
      <w:r>
        <w:rPr/>
        <w:t>Background</w:t>
      </w:r>
    </w:p>
    <w:p>
      <w:pPr>
        <w:pStyle w:val="Normal"/>
        <w:numPr>
          <w:ilvl w:val="0"/>
          <w:numId w:val="2"/>
        </w:numPr>
        <w:rPr>
          <w:sz w:val="20"/>
        </w:rPr>
      </w:pPr>
      <w:r>
        <w:rPr>
          <w:sz w:val="20"/>
        </w:rPr>
        <w:t>The relevant stakeholders, including large customers, small consumers, environmentalists, labor, California Independent Energy Producers (IEP), Edison (and Enron), have been negotiating the terms of a core/noncore market structure for the past two weeks.</w:t>
      </w:r>
    </w:p>
    <w:p>
      <w:pPr>
        <w:pStyle w:val="Normal"/>
        <w:numPr>
          <w:ilvl w:val="0"/>
          <w:numId w:val="2"/>
        </w:numPr>
        <w:rPr>
          <w:sz w:val="20"/>
        </w:rPr>
      </w:pPr>
      <w:r>
        <w:rPr>
          <w:sz w:val="20"/>
        </w:rPr>
        <w:t>Hertzberg proposed the core/noncore market structure, and Hertzberg convened the settlement talks at the request of the large consumers.</w:t>
      </w:r>
    </w:p>
    <w:p>
      <w:pPr>
        <w:pStyle w:val="Normal"/>
        <w:numPr>
          <w:ilvl w:val="0"/>
          <w:numId w:val="2"/>
        </w:numPr>
        <w:rPr>
          <w:sz w:val="20"/>
        </w:rPr>
      </w:pPr>
      <w:r>
        <w:rPr>
          <w:sz w:val="20"/>
        </w:rPr>
        <w:t>Hertzberg designated Phil Eisenberg, a highly respected former Democratic state legislator, to facilitate the settlement discussions.</w:t>
      </w:r>
    </w:p>
    <w:p>
      <w:pPr>
        <w:pStyle w:val="Normal"/>
        <w:numPr>
          <w:ilvl w:val="0"/>
          <w:numId w:val="2"/>
        </w:numPr>
        <w:rPr>
          <w:sz w:val="20"/>
        </w:rPr>
      </w:pPr>
      <w:r>
        <w:rPr>
          <w:sz w:val="20"/>
        </w:rPr>
        <w:t>The talks have been very difficult, but the group is close to an agreement.</w:t>
      </w:r>
    </w:p>
    <w:p>
      <w:pPr>
        <w:pStyle w:val="Normal"/>
        <w:numPr>
          <w:ilvl w:val="0"/>
          <w:numId w:val="2"/>
        </w:numPr>
        <w:rPr>
          <w:sz w:val="20"/>
        </w:rPr>
      </w:pPr>
      <w:r>
        <w:rPr>
          <w:sz w:val="20"/>
        </w:rPr>
        <w:t>Burton has endorsed the settlement talks, understanding that this may be California’s last best chance to get the crisis solved without Edison going into bankruptcy.</w:t>
      </w:r>
    </w:p>
    <w:p>
      <w:pPr>
        <w:pStyle w:val="Normal"/>
        <w:numPr>
          <w:ilvl w:val="0"/>
          <w:numId w:val="2"/>
        </w:numPr>
        <w:rPr>
          <w:sz w:val="20"/>
        </w:rPr>
      </w:pPr>
      <w:r>
        <w:rPr>
          <w:sz w:val="20"/>
        </w:rPr>
        <w:t>Burton and Hertzberg have met with the Governor about the talks and the Governor has also endorsed them, though the Governor has expressed concern over advice that he has gotten from his financial advisors that a core/noncore structure (or any form of Direct Access, for that matter) could jeopardize the bond issuance needed to repay the monies removed from the General Fund to purchase power on behalf of the utilities.</w:t>
      </w:r>
    </w:p>
    <w:p>
      <w:pPr>
        <w:pStyle w:val="Normal"/>
        <w:numPr>
          <w:ilvl w:val="0"/>
          <w:numId w:val="2"/>
        </w:numPr>
        <w:rPr>
          <w:sz w:val="20"/>
        </w:rPr>
      </w:pPr>
      <w:r>
        <w:rPr>
          <w:sz w:val="20"/>
        </w:rPr>
        <w:t>Recently, the State Treasurer (Phil Angelides) and the State Department of Finance wrote a letter to Loretta Lynch urging her to suspend Direct Access by June 28</w:t>
      </w:r>
      <w:r>
        <w:rPr>
          <w:sz w:val="20"/>
          <w:vertAlign w:val="superscript"/>
        </w:rPr>
        <w:t>th</w:t>
      </w:r>
      <w:r>
        <w:rPr>
          <w:sz w:val="20"/>
        </w:rPr>
        <w:t xml:space="preserve"> in order to ensure that the issuance of the bonds is not jeopardized.  </w:t>
      </w:r>
    </w:p>
    <w:p>
      <w:pPr>
        <w:pStyle w:val="Normal"/>
        <w:numPr>
          <w:ilvl w:val="0"/>
          <w:numId w:val="2"/>
        </w:numPr>
        <w:rPr>
          <w:sz w:val="20"/>
        </w:rPr>
      </w:pPr>
      <w:r>
        <w:rPr>
          <w:sz w:val="20"/>
        </w:rPr>
        <w:t>The CPUC is expected to release the letter to the public within the next week as part of a proposed order by Dick Bilas to prevent the suspension of Direct Access.</w:t>
      </w:r>
    </w:p>
    <w:p>
      <w:pPr>
        <w:pStyle w:val="Normal"/>
        <w:numPr>
          <w:ilvl w:val="0"/>
          <w:numId w:val="2"/>
        </w:numPr>
        <w:rPr>
          <w:sz w:val="20"/>
        </w:rPr>
      </w:pPr>
      <w:r>
        <w:rPr>
          <w:sz w:val="20"/>
        </w:rPr>
        <w:t>The PUC was scheduled to rule on the decision suspending Direct Access on June 14</w:t>
      </w:r>
      <w:r>
        <w:rPr>
          <w:sz w:val="20"/>
          <w:vertAlign w:val="superscript"/>
        </w:rPr>
        <w:t>th</w:t>
      </w:r>
      <w:r>
        <w:rPr>
          <w:sz w:val="20"/>
        </w:rPr>
        <w:t>, but the vote was delayed when Hertzberg intervened at the request of the settlement parties.</w:t>
      </w:r>
    </w:p>
    <w:p>
      <w:pPr>
        <w:pStyle w:val="Normal"/>
        <w:numPr>
          <w:ilvl w:val="0"/>
          <w:numId w:val="2"/>
        </w:numPr>
        <w:rPr>
          <w:sz w:val="20"/>
        </w:rPr>
      </w:pPr>
      <w:r>
        <w:rPr>
          <w:sz w:val="20"/>
        </w:rPr>
        <w:t>The negotiations have forced California’s industry participants to come to grips with the fact that the contracts signed by CDWR could prevent California from reaching agreement on a comprehensive, market-based solution for California.</w:t>
      </w:r>
    </w:p>
    <w:p>
      <w:pPr>
        <w:pStyle w:val="Normal"/>
        <w:numPr>
          <w:ilvl w:val="0"/>
          <w:numId w:val="2"/>
        </w:numPr>
        <w:rPr>
          <w:sz w:val="20"/>
        </w:rPr>
      </w:pPr>
      <w:r>
        <w:rPr>
          <w:sz w:val="20"/>
        </w:rPr>
        <w:t>The contracts and the financial experts advising the administration on the bond issuance are viewed as the two single biggest impediments to reaching an agreement.</w:t>
      </w:r>
    </w:p>
    <w:p>
      <w:pPr>
        <w:pStyle w:val="Normal"/>
        <w:numPr>
          <w:ilvl w:val="0"/>
          <w:numId w:val="2"/>
        </w:numPr>
        <w:rPr>
          <w:sz w:val="20"/>
        </w:rPr>
      </w:pPr>
      <w:r>
        <w:rPr>
          <w:sz w:val="20"/>
        </w:rPr>
        <w:t>With respect to the contract problem, the volume and price of the contracts are likely to create a stranded cost problem as large, or larger, as the stranded cost problem faced by the utilities under California’s original restructuring proposal (AB 1890).</w:t>
      </w:r>
    </w:p>
    <w:p>
      <w:pPr>
        <w:pStyle w:val="Normal"/>
        <w:numPr>
          <w:ilvl w:val="0"/>
          <w:numId w:val="2"/>
        </w:numPr>
        <w:rPr>
          <w:sz w:val="20"/>
        </w:rPr>
      </w:pPr>
      <w:r>
        <w:rPr>
          <w:sz w:val="20"/>
        </w:rPr>
        <w:t>If the core/noncore settlement talks break down—due to the CDWR contracts, the bonds, or some other issue—the likelihood is extremely high that Edison will be forced into bankruptcy, or will take itself in. (Edison has recently taken steps to ringfence its nonutility assets in a manner similar to the steps taken by PG&amp;E prior to PG&amp;E filing for bankruptcy.)</w:t>
      </w:r>
    </w:p>
    <w:p>
      <w:pPr>
        <w:pStyle w:val="Normal"/>
        <w:numPr>
          <w:ilvl w:val="0"/>
          <w:numId w:val="2"/>
        </w:numPr>
        <w:rPr>
          <w:sz w:val="20"/>
        </w:rPr>
      </w:pPr>
      <w:r>
        <w:rPr>
          <w:sz w:val="20"/>
        </w:rPr>
        <w:t>Republican state legislators and many media outlets have sued Davis to release information regarding the contracts.</w:t>
      </w:r>
    </w:p>
    <w:p>
      <w:pPr>
        <w:pStyle w:val="Normal"/>
        <w:numPr>
          <w:ilvl w:val="0"/>
          <w:numId w:val="2"/>
        </w:numPr>
        <w:rPr>
          <w:sz w:val="20"/>
        </w:rPr>
      </w:pPr>
      <w:r>
        <w:rPr>
          <w:sz w:val="20"/>
        </w:rPr>
        <w:t>In addition, Burton and Hertzberg have told Davis that no deal can be done to solve the crisis unless Davis releases the information to the Legislature.</w:t>
      </w:r>
    </w:p>
    <w:p>
      <w:pPr>
        <w:pStyle w:val="Normal"/>
        <w:numPr>
          <w:ilvl w:val="0"/>
          <w:numId w:val="2"/>
        </w:numPr>
        <w:rPr>
          <w:sz w:val="20"/>
        </w:rPr>
      </w:pPr>
      <w:r>
        <w:rPr>
          <w:sz w:val="20"/>
        </w:rPr>
        <w:t>Sensing that he will lose the court case, Davis began telling the media that he intended to request that the court relieve him of the confidentiality provisions in the contracts so that he can release the information.</w:t>
      </w:r>
    </w:p>
    <w:p>
      <w:pPr>
        <w:pStyle w:val="Normal"/>
        <w:numPr>
          <w:ilvl w:val="0"/>
          <w:numId w:val="2"/>
        </w:numPr>
        <w:rPr>
          <w:sz w:val="20"/>
        </w:rPr>
      </w:pPr>
      <w:r>
        <w:rPr>
          <w:sz w:val="20"/>
        </w:rPr>
        <w:t>Davis’ chief lawyer has told some industry participants that most details of the contracts will be released today (06.15.01).</w:t>
      </w:r>
    </w:p>
    <w:p>
      <w:pPr>
        <w:pStyle w:val="Normal"/>
        <w:numPr>
          <w:ilvl w:val="0"/>
          <w:numId w:val="2"/>
        </w:numPr>
        <w:rPr>
          <w:sz w:val="20"/>
        </w:rPr>
      </w:pPr>
      <w:r>
        <w:rPr>
          <w:sz w:val="20"/>
        </w:rPr>
        <w:t>Pressure is increasing for the state to take a second look at the contracts and to consider seriously the need to renegotiate them.</w:t>
      </w:r>
    </w:p>
    <w:p>
      <w:pPr>
        <w:pStyle w:val="Normal"/>
        <w:numPr>
          <w:ilvl w:val="0"/>
          <w:numId w:val="2"/>
        </w:numPr>
        <w:rPr>
          <w:sz w:val="20"/>
        </w:rPr>
      </w:pPr>
      <w:r>
        <w:rPr>
          <w:sz w:val="20"/>
        </w:rPr>
        <w:t>That pressure is likely to increase substantially when the details of the contracts are released.</w:t>
      </w:r>
    </w:p>
    <w:p>
      <w:pPr>
        <w:pStyle w:val="Normal"/>
        <w:numPr>
          <w:ilvl w:val="0"/>
          <w:numId w:val="2"/>
        </w:numPr>
        <w:rPr>
          <w:sz w:val="20"/>
        </w:rPr>
      </w:pPr>
      <w:r>
        <w:rPr>
          <w:sz w:val="20"/>
        </w:rPr>
        <w:t>Hertzberg also informed the settlement parties that he has begun calling the generators to “test the waters” regarding contract renegotiation.</w:t>
      </w:r>
    </w:p>
    <w:p>
      <w:pPr>
        <w:pStyle w:val="Heading2"/>
        <w:ind w:hanging="0" w:start="0"/>
        <w:rPr/>
      </w:pPr>
      <w:r>
        <w:rPr/>
        <w:t>Messages</w:t>
      </w:r>
    </w:p>
    <w:p>
      <w:pPr>
        <w:pStyle w:val="Normal"/>
        <w:numPr>
          <w:ilvl w:val="0"/>
          <w:numId w:val="2"/>
        </w:numPr>
        <w:rPr>
          <w:sz w:val="20"/>
        </w:rPr>
      </w:pPr>
      <w:r>
        <w:rPr>
          <w:sz w:val="20"/>
        </w:rPr>
        <w:t>As a general matter, Enron strongly opposes the unilateral abrogation of contract rights.</w:t>
      </w:r>
    </w:p>
    <w:p>
      <w:pPr>
        <w:pStyle w:val="Normal"/>
        <w:numPr>
          <w:ilvl w:val="0"/>
          <w:numId w:val="2"/>
        </w:numPr>
        <w:rPr>
          <w:sz w:val="20"/>
        </w:rPr>
      </w:pPr>
      <w:r>
        <w:rPr>
          <w:sz w:val="20"/>
        </w:rPr>
        <w:t>Enron was in favor of the state entering into long-term contracts, but not at the volume and price levels that the state appears to have contracted for.</w:t>
      </w:r>
    </w:p>
    <w:p>
      <w:pPr>
        <w:pStyle w:val="Normal"/>
        <w:numPr>
          <w:ilvl w:val="0"/>
          <w:numId w:val="2"/>
        </w:numPr>
        <w:rPr>
          <w:sz w:val="20"/>
        </w:rPr>
      </w:pPr>
      <w:r>
        <w:rPr>
          <w:sz w:val="20"/>
        </w:rPr>
        <w:t>Enron continues to favor a market-based resolution that avoids bankruptcy for Southern California Edison, and it appears that the Hertzberg proposal, and the settlement talks that the Speaker has initiated, are on the right track and offer the last best chance of succeeding.</w:t>
      </w:r>
    </w:p>
    <w:p>
      <w:pPr>
        <w:pStyle w:val="Normal"/>
        <w:numPr>
          <w:ilvl w:val="0"/>
          <w:numId w:val="2"/>
        </w:numPr>
        <w:rPr>
          <w:sz w:val="20"/>
        </w:rPr>
      </w:pPr>
      <w:r>
        <w:rPr>
          <w:sz w:val="20"/>
        </w:rPr>
        <w:t xml:space="preserve">Unless the Hertzberg proposal succeeds, the likelihood of an Edison bankruptcy are very high, because there appears to be no alternative and time has run out. </w:t>
      </w:r>
    </w:p>
    <w:p>
      <w:pPr>
        <w:pStyle w:val="Normal"/>
        <w:numPr>
          <w:ilvl w:val="0"/>
          <w:numId w:val="2"/>
        </w:numPr>
        <w:rPr>
          <w:sz w:val="20"/>
        </w:rPr>
      </w:pPr>
      <w:r>
        <w:rPr>
          <w:sz w:val="20"/>
        </w:rPr>
        <w:t xml:space="preserve">Consequently, the time is right to bring the suppliers together to finally reach a comprehensive resolution of the supply issues—both the past due amounts for energy services previously rendered and contracts for services going forward. </w:t>
      </w:r>
    </w:p>
    <w:p>
      <w:pPr>
        <w:pStyle w:val="Normal"/>
        <w:numPr>
          <w:ilvl w:val="0"/>
          <w:numId w:val="2"/>
        </w:numPr>
        <w:rPr>
          <w:sz w:val="20"/>
        </w:rPr>
      </w:pPr>
      <w:r>
        <w:rPr>
          <w:sz w:val="20"/>
        </w:rPr>
        <w:t>The supply issues are the only thing standing in the way of a successful resolution of California’s crisis along the lines of the proposal developed by Speaker Hertzberg.</w:t>
      </w:r>
    </w:p>
    <w:p>
      <w:pPr>
        <w:pStyle w:val="Normal"/>
        <w:numPr>
          <w:ilvl w:val="0"/>
          <w:numId w:val="2"/>
        </w:numPr>
        <w:rPr>
          <w:sz w:val="20"/>
        </w:rPr>
      </w:pPr>
      <w:r>
        <w:rPr>
          <w:sz w:val="20"/>
        </w:rPr>
        <w:t>The financing of the agreement, i.e., the bonds, should not stand in the way of reaching agreement on the Hertzberg proposal.</w:t>
      </w:r>
    </w:p>
    <w:p>
      <w:pPr>
        <w:pStyle w:val="Normal"/>
        <w:numPr>
          <w:ilvl w:val="0"/>
          <w:numId w:val="2"/>
        </w:numPr>
        <w:rPr>
          <w:sz w:val="20"/>
        </w:rPr>
      </w:pPr>
      <w:r>
        <w:rPr>
          <w:sz w:val="20"/>
        </w:rPr>
        <w:t>Once agreement is reached, an appropriate financing structure can be developed that does not jeopardize the issuance of the bonds necessary to repay the monies “borrowed” from the General Fund to keep the lights on in California.</w:t>
      </w:r>
    </w:p>
    <w:p>
      <w:pPr>
        <w:pStyle w:val="Normal"/>
        <w:numPr>
          <w:ilvl w:val="0"/>
          <w:numId w:val="2"/>
        </w:numPr>
        <w:rPr>
          <w:sz w:val="20"/>
        </w:rPr>
      </w:pPr>
      <w:r>
        <w:rPr>
          <w:sz w:val="20"/>
        </w:rPr>
        <w:t>Therefore, the Speaker should immediately convene talks with suppliers to attempt to resolve the supplies issues (i.e., past due amounts and going-forward contracts), with the goal of achieving a resolution that best accommodates the Speaker’s core/noncore proposal.</w:t>
      </w:r>
    </w:p>
    <w:p>
      <w:pPr>
        <w:pStyle w:val="Normal"/>
        <w:numPr>
          <w:ilvl w:val="0"/>
          <w:numId w:val="2"/>
        </w:numPr>
        <w:rPr>
          <w:sz w:val="20"/>
        </w:rPr>
      </w:pPr>
      <w:r>
        <w:rPr>
          <w:sz w:val="20"/>
        </w:rPr>
        <w:t>Simultaneous with those meetings, the Speaker, Senator Burton and the Governor should convene a working group of financial experts (including Enron) to determine the least cost financing structure needed to support the Speaker’s core/noncore proposal (much in the same way that Hertzberg has convened industry participants to develop the core/noncore structure).</w:t>
      </w:r>
    </w:p>
    <w:p>
      <w:pPr>
        <w:pStyle w:val="Normal"/>
        <w:numPr>
          <w:ilvl w:val="0"/>
          <w:numId w:val="2"/>
        </w:numPr>
        <w:rPr>
          <w:sz w:val="20"/>
        </w:rPr>
      </w:pPr>
      <w:r>
        <w:rPr>
          <w:sz w:val="20"/>
        </w:rPr>
        <w:t>The finance group should work with the group that Hertzberg has convened.</w:t>
      </w:r>
    </w:p>
    <w:p>
      <w:pPr>
        <w:pStyle w:val="Normal"/>
        <w:rPr>
          <w:sz w:val="20"/>
        </w:rPr>
      </w:pPr>
      <w:r>
        <w:rPr>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u w:val="single"/>
    </w:rPr>
  </w:style>
  <w:style w:type="paragraph" w:styleId="Heading2">
    <w:name w:val="heading 2"/>
    <w:basedOn w:val="Normal"/>
    <w:next w:val="Normal"/>
    <w:qFormat/>
    <w:pPr>
      <w:keepNext w:val="true"/>
      <w:numPr>
        <w:ilvl w:val="1"/>
        <w:numId w:val="1"/>
      </w:numPr>
      <w:outlineLvl w:val="1"/>
    </w:pPr>
    <w:rPr>
      <w:b/>
      <w:bCs/>
      <w:i/>
      <w:iCs/>
      <w:sz w:val="20"/>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2001-06-15T13:55:00Z</dcterms:created>
  <dc:creator>jdasovic</dc:creator>
  <dc:description/>
  <dc:language>en-CA</dc:language>
  <cp:lastModifiedBy>jdasovic</cp:lastModifiedBy>
  <dcterms:modified xsi:type="dcterms:W3CDTF">2001-06-15T15:21:00Z</dcterms:modified>
  <cp:revision>12</cp:revision>
  <dc:subject/>
  <dc:title>Message Points</dc:title>
</cp:coreProperties>
</file>