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t>SECOND AMENDMENT TO</w:t>
      </w:r>
      <w:r>
        <mc:AlternateContent>
          <mc:Choice Requires="wps">
            <w:drawing>
              <wp:anchor behindDoc="0" distT="0" distB="0" distL="114935" distR="114935" simplePos="0" locked="0" layoutInCell="1" allowOverlap="1" relativeHeight="2">
                <wp:simplePos x="0" y="0"/>
                <wp:positionH relativeFrom="column">
                  <wp:posOffset>4663440</wp:posOffset>
                </wp:positionH>
                <wp:positionV relativeFrom="paragraph">
                  <wp:posOffset>-822960</wp:posOffset>
                </wp:positionV>
                <wp:extent cx="1554480" cy="274320"/>
                <wp:effectExtent l="0" t="0" r="0" b="0"/>
                <wp:wrapNone/>
                <wp:docPr id="1" name="Frame1"/>
                <a:graphic xmlns:a="http://schemas.openxmlformats.org/drawingml/2006/main">
                  <a:graphicData uri="http://schemas.microsoft.com/office/word/2010/wordprocessingShape">
                    <wps:wsp>
                      <wps:cNvSpPr txBox="1"/>
                      <wps:spPr>
                        <a:xfrm>
                          <a:off x="0" y="0"/>
                          <a:ext cx="1554480" cy="274320"/>
                        </a:xfrm>
                        <a:prstGeom prst="rect"/>
                        <a:solidFill>
                          <a:srgbClr val="FFFFFF">
                            <a:alpha val="0"/>
                          </a:srgbClr>
                        </a:solidFill>
                      </wps:spPr>
                      <wps:txbx>
                        <w:txbxContent>
                          <w:p>
                            <w:pPr>
                              <w:pStyle w:val="Heading1"/>
                              <w:ind w:hanging="0" w:start="0"/>
                              <w:rPr/>
                            </w:pPr>
                            <w:r>
                              <w:rPr/>
                              <w:t>Execution Copy</w:t>
                            </w:r>
                          </w:p>
                        </w:txbxContent>
                      </wps:txbx>
                      <wps:bodyPr anchor="t" lIns="92075" tIns="46355" rIns="92075" bIns="46355">
                        <a:noAutofit/>
                      </wps:bodyPr>
                    </wps:wsp>
                  </a:graphicData>
                </a:graphic>
              </wp:anchor>
            </w:drawing>
          </mc:Choice>
          <mc:Fallback>
            <w:pict>
              <v:rect fillcolor="#FFFFFF" style="position:absolute;rotation:-0;width:122.4pt;height:21.6pt;mso-wrap-distance-left:9.05pt;mso-wrap-distance-right:9.05pt;mso-wrap-distance-top:0pt;mso-wrap-distance-bottom:0pt;margin-top:-64.8pt;mso-position-vertical-relative:text;margin-left:367.2pt;mso-position-horizontal-relative:text">
                <v:fill opacity="0f"/>
                <v:textbox inset="0.100694444444444in,0.0506944444444444in,0.100694444444444in,0.0506944444444444in">
                  <w:txbxContent>
                    <w:p>
                      <w:pPr>
                        <w:pStyle w:val="Heading1"/>
                        <w:ind w:hanging="0" w:start="0"/>
                        <w:rPr/>
                      </w:pPr>
                      <w:r>
                        <w:rPr/>
                        <w:t>Execution Copy</w:t>
                      </w:r>
                    </w:p>
                  </w:txbxContent>
                </v:textbox>
                <w10:wrap type="none"/>
              </v:rect>
            </w:pict>
          </mc:Fallback>
        </mc:AlternateContent>
      </w:r>
    </w:p>
    <w:p>
      <w:pPr>
        <w:pStyle w:val="Normal"/>
        <w:jc w:val="center"/>
        <w:rPr>
          <w:b/>
          <w:sz w:val="22"/>
        </w:rPr>
      </w:pPr>
      <w:r>
        <w:rPr>
          <w:b/>
          <w:sz w:val="22"/>
          <w:u w:val="single"/>
        </w:rPr>
        <w:t>MASTER ENERGY PURCHASE AND SALE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Second Amendment to Master Energy Purchase and Sale Agreement dated as of December 28, 1999 (the “Second Amendment”), is made and entered into by and between Merrill Lynch Capital Services, Inc. (“Counterparty”) and Enron Power Marketing, Inc. (“EPMI”).</w:t>
      </w:r>
    </w:p>
    <w:p>
      <w:pPr>
        <w:pStyle w:val="Normal"/>
        <w:jc w:val="both"/>
        <w:rPr>
          <w:sz w:val="22"/>
        </w:rPr>
      </w:pPr>
      <w:r>
        <w:rPr>
          <w:sz w:val="22"/>
        </w:rPr>
      </w:r>
    </w:p>
    <w:p>
      <w:pPr>
        <w:pStyle w:val="Normal"/>
        <w:jc w:val="both"/>
        <w:rPr>
          <w:sz w:val="22"/>
        </w:rPr>
      </w:pPr>
      <w:r>
        <w:rPr>
          <w:sz w:val="22"/>
        </w:rPr>
        <w:tab/>
        <w:t>WHEREAS, Counterparty and EPMI entered into that certain Master Energy Purchase and Sale Agreement dated as of May 3, 1999 (the “Master Agreement”);</w:t>
      </w:r>
    </w:p>
    <w:p>
      <w:pPr>
        <w:pStyle w:val="Normal"/>
        <w:jc w:val="both"/>
        <w:rPr>
          <w:sz w:val="22"/>
        </w:rPr>
      </w:pPr>
      <w:r>
        <w:rPr>
          <w:sz w:val="22"/>
        </w:rPr>
      </w:r>
    </w:p>
    <w:p>
      <w:pPr>
        <w:pStyle w:val="Normal"/>
        <w:jc w:val="both"/>
        <w:rPr>
          <w:sz w:val="22"/>
        </w:rPr>
      </w:pPr>
      <w:r>
        <w:rPr>
          <w:sz w:val="22"/>
        </w:rPr>
        <w:tab/>
        <w:t>WHEREAS, Counterparty and EPMI entered into that certain First Amendment to Master Energy Purchase and Sale Agreement dated as of July 29, 1999 (the “First Amendment”);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Credit Support Annex to the Master Agreement is hereby amended as follows:</w:t>
      </w:r>
    </w:p>
    <w:p>
      <w:pPr>
        <w:pStyle w:val="Normal"/>
        <w:jc w:val="both"/>
        <w:rPr>
          <w:sz w:val="22"/>
        </w:rPr>
      </w:pPr>
      <w:r>
        <w:rPr>
          <w:sz w:val="22"/>
        </w:rPr>
      </w:r>
    </w:p>
    <w:p>
      <w:pPr>
        <w:pStyle w:val="Normal"/>
        <w:jc w:val="both"/>
        <w:rPr>
          <w:sz w:val="22"/>
        </w:rPr>
      </w:pPr>
      <w:r>
        <w:rPr>
          <w:sz w:val="22"/>
        </w:rPr>
        <w:t xml:space="preserve">1. </w:t>
        <w:tab/>
        <w:t>Section (a) of Paragraph 13 is hereby amended to provide in its entirety as follows:</w:t>
      </w:r>
    </w:p>
    <w:p>
      <w:pPr>
        <w:pStyle w:val="Normal"/>
        <w:jc w:val="both"/>
        <w:rPr>
          <w:sz w:val="22"/>
        </w:rPr>
      </w:pPr>
      <w:r>
        <w:rPr>
          <w:sz w:val="22"/>
        </w:rPr>
      </w:r>
    </w:p>
    <w:p>
      <w:pPr>
        <w:pStyle w:val="Normal"/>
        <w:ind w:start="1440" w:end="720"/>
        <w:jc w:val="both"/>
        <w:rPr>
          <w:sz w:val="22"/>
        </w:rPr>
      </w:pPr>
      <w:r>
        <w:rPr>
          <w:sz w:val="22"/>
        </w:rPr>
        <w:t>“</w:t>
      </w:r>
      <w:r>
        <w:rPr>
          <w:sz w:val="22"/>
        </w:rPr>
        <w:t>Security Interest for “Obligations”. The term “Obligations” as used in this Annex includes the following additional obligations:</w:t>
      </w:r>
    </w:p>
    <w:p>
      <w:pPr>
        <w:pStyle w:val="Normal"/>
        <w:ind w:start="1440" w:end="720"/>
        <w:jc w:val="both"/>
        <w:rPr>
          <w:sz w:val="22"/>
        </w:rPr>
      </w:pPr>
      <w:r>
        <w:rPr>
          <w:sz w:val="22"/>
        </w:rPr>
      </w:r>
    </w:p>
    <w:p>
      <w:pPr>
        <w:pStyle w:val="Normal"/>
        <w:ind w:start="1440" w:end="720"/>
        <w:jc w:val="both"/>
        <w:rPr>
          <w:sz w:val="22"/>
        </w:rPr>
      </w:pPr>
      <w:r>
        <w:rPr>
          <w:sz w:val="22"/>
        </w:rPr>
        <w:t>With respect to Party A:</w:t>
        <w:tab/>
        <w:t xml:space="preserve">  all present and future obligations of Party A under the ISDA Master Agreement.</w:t>
      </w:r>
    </w:p>
    <w:p>
      <w:pPr>
        <w:pStyle w:val="Normal"/>
        <w:ind w:hanging="720" w:start="1440" w:end="720"/>
        <w:jc w:val="both"/>
        <w:rPr>
          <w:sz w:val="22"/>
        </w:rPr>
      </w:pPr>
      <w:r>
        <w:rPr>
          <w:sz w:val="22"/>
        </w:rPr>
      </w:r>
    </w:p>
    <w:p>
      <w:pPr>
        <w:pStyle w:val="BodyTextIndent2"/>
        <w:ind w:start="1440" w:end="720"/>
        <w:jc w:val="both"/>
        <w:rPr/>
      </w:pPr>
      <w:r>
        <w:rPr/>
        <w:t>With respect to Party B:</w:t>
        <w:tab/>
        <w:t xml:space="preserve">  all present and future obligations of Party B under the ISDA Master Agreement.”</w:t>
      </w:r>
    </w:p>
    <w:p>
      <w:pPr>
        <w:pStyle w:val="Normal"/>
        <w:ind w:hanging="720" w:start="720" w:end="0"/>
        <w:jc w:val="both"/>
        <w:rPr>
          <w:sz w:val="22"/>
        </w:rPr>
      </w:pPr>
      <w:r>
        <w:rPr>
          <w:sz w:val="22"/>
        </w:rPr>
      </w:r>
    </w:p>
    <w:p>
      <w:pPr>
        <w:pStyle w:val="BodyTextIndent3"/>
        <w:jc w:val="both"/>
        <w:rPr/>
      </w:pPr>
      <w:r>
        <w:rPr/>
        <w:t xml:space="preserve">2. </w:t>
        <w:tab/>
        <w:t>The definition of “Swap Transaction” contained in Section (m)(i) of  Paragraph 13 is hereby amended to provide in its entirety as follows:</w:t>
      </w:r>
    </w:p>
    <w:p>
      <w:pPr>
        <w:pStyle w:val="Normal"/>
        <w:ind w:hanging="720" w:start="720" w:end="0"/>
        <w:jc w:val="both"/>
        <w:rPr>
          <w:sz w:val="22"/>
        </w:rPr>
      </w:pPr>
      <w:r>
        <w:rPr>
          <w:sz w:val="22"/>
        </w:rPr>
      </w:r>
    </w:p>
    <w:p>
      <w:pPr>
        <w:pStyle w:val="BlockText"/>
        <w:rPr/>
      </w:pPr>
      <w:r>
        <w:rPr/>
        <w:t>“</w:t>
      </w:r>
      <w:r>
        <w:rPr/>
        <w:t>Swap Transactions” means any transaction now existing or hereafter entered into as provided in Section 1 of the Agreement together with any Transaction as defined in the ISDA Master Agreement.”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3. </w:t>
        <w:tab/>
        <w:t>The following definitions are hereby added to Section (m)(i) of Paragraph 13:</w:t>
      </w:r>
    </w:p>
    <w:p>
      <w:pPr>
        <w:pStyle w:val="Normal"/>
        <w:ind w:hanging="720" w:start="720" w:end="0"/>
        <w:jc w:val="both"/>
        <w:rPr>
          <w:sz w:val="22"/>
        </w:rPr>
      </w:pPr>
      <w:r>
        <w:rPr>
          <w:sz w:val="22"/>
        </w:rPr>
      </w:r>
    </w:p>
    <w:p>
      <w:pPr>
        <w:pStyle w:val="BodyTextIndent"/>
        <w:ind w:start="1440" w:end="720"/>
        <w:jc w:val="both"/>
        <w:rPr>
          <w:sz w:val="22"/>
        </w:rPr>
      </w:pPr>
      <w:r>
        <w:rPr>
          <w:sz w:val="22"/>
        </w:rPr>
        <w:t>“</w:t>
      </w:r>
      <w:r>
        <w:rPr>
          <w:sz w:val="22"/>
        </w:rPr>
        <w:t xml:space="preserve">ISDA Master Agreement” means the ISDA Master Agreement dated as of December 28, 1999 between Party A and Party B. </w:t>
      </w:r>
    </w:p>
    <w:p>
      <w:pPr>
        <w:pStyle w:val="Normal"/>
        <w:ind w:hanging="720" w:start="1440" w:end="720"/>
        <w:jc w:val="both"/>
        <w:rPr>
          <w:sz w:val="22"/>
        </w:rPr>
      </w:pPr>
      <w:r>
        <w:rPr>
          <w:sz w:val="22"/>
        </w:rPr>
      </w:r>
    </w:p>
    <w:p>
      <w:pPr>
        <w:pStyle w:val="BodyTextIndent"/>
        <w:ind w:start="1440" w:end="720"/>
        <w:jc w:val="both"/>
        <w:rPr>
          <w:sz w:val="22"/>
        </w:rPr>
      </w:pPr>
      <w:r>
        <w:rPr>
          <w:sz w:val="22"/>
        </w:rPr>
        <w:t>“</w:t>
      </w:r>
      <w:r>
        <w:rPr>
          <w:sz w:val="22"/>
        </w:rPr>
        <w:t>Terminated Transaction” means any Terminated Transaction as such term is defined in the Agreement and any Terminated Transaction as such term is defined in the ISDA Master Agreement.”</w:t>
      </w:r>
    </w:p>
    <w:p>
      <w:pPr>
        <w:pStyle w:val="Normal"/>
        <w:ind w:hanging="720" w:start="720" w:end="0"/>
        <w:jc w:val="both"/>
        <w:rPr>
          <w:sz w:val="22"/>
        </w:rPr>
      </w:pPr>
      <w:r>
        <w:rPr>
          <w:sz w:val="22"/>
        </w:rPr>
      </w:r>
    </w:p>
    <w:p>
      <w:pPr>
        <w:pStyle w:val="Normal"/>
        <w:ind w:hanging="720" w:start="720" w:end="0"/>
        <w:jc w:val="both"/>
        <w:rPr>
          <w:sz w:val="22"/>
        </w:rPr>
      </w:pPr>
      <w:r>
        <w:rPr>
          <w:sz w:val="22"/>
        </w:rPr>
        <w:t>4.</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both"/>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Second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the First Amendment and this Second Amendment.  The provisions of this Second Amendment shall apply to any and all outstanding Transactions under the Master Agreement.  Unless otherwise defined herein, capitalized terms not defined herein shall have the same meanings assigned to such terms in the Master Agreement.</w:t>
      </w:r>
    </w:p>
    <w:p>
      <w:pPr>
        <w:pStyle w:val="Normal"/>
        <w:jc w:val="both"/>
        <w:rPr>
          <w:sz w:val="22"/>
        </w:rPr>
      </w:pPr>
      <w:r>
        <w:rPr>
          <w:sz w:val="22"/>
        </w:rPr>
      </w:r>
    </w:p>
    <w:p>
      <w:pPr>
        <w:pStyle w:val="Normal"/>
        <w:jc w:val="both"/>
        <w:rPr>
          <w:sz w:val="22"/>
        </w:rPr>
      </w:pPr>
      <w:r>
        <w:rPr>
          <w:sz w:val="22"/>
        </w:rPr>
        <w:tab/>
        <w:t>IN WITNESS WHEREOF, the parties hereto have caused this Second Amendment to be executed in multiple originals dated as of December 28, 1999.</w:t>
      </w:r>
    </w:p>
    <w:p>
      <w:pPr>
        <w:pStyle w:val="Normal"/>
        <w:jc w:val="both"/>
        <w:rPr>
          <w:sz w:val="22"/>
        </w:rPr>
      </w:pPr>
      <w:r>
        <w:rPr>
          <w:sz w:val="22"/>
        </w:rPr>
      </w:r>
    </w:p>
    <w:p>
      <w:pPr>
        <w:pStyle w:val="Normal"/>
        <w:jc w:val="both"/>
        <w:rPr>
          <w:sz w:val="22"/>
        </w:rPr>
      </w:pPr>
      <w:r>
        <w:rPr>
          <w:sz w:val="22"/>
        </w:rPr>
      </w:r>
    </w:p>
    <w:tbl>
      <w:tblPr>
        <w:tblW w:w="10008" w:type="dxa"/>
        <w:jc w:val="start"/>
        <w:tblInd w:w="0" w:type="dxa"/>
        <w:tblLayout w:type="fixed"/>
        <w:tblCellMar>
          <w:top w:w="0" w:type="dxa"/>
          <w:start w:w="108" w:type="dxa"/>
          <w:bottom w:w="0" w:type="dxa"/>
          <w:end w:w="108" w:type="dxa"/>
        </w:tblCellMar>
      </w:tblPr>
      <w:tblGrid>
        <w:gridCol w:w="4788"/>
        <w:gridCol w:w="5220"/>
      </w:tblGrid>
      <w:tr>
        <w:trPr/>
        <w:tc>
          <w:tcPr>
            <w:tcW w:w="4788" w:type="dxa"/>
            <w:tcBorders/>
          </w:tcPr>
          <w:p>
            <w:pPr>
              <w:pStyle w:val="Normal"/>
              <w:tabs>
                <w:tab w:val="clear" w:pos="720"/>
                <w:tab w:val="left" w:pos="4410" w:leader="none"/>
              </w:tabs>
              <w:spacing w:lineRule="exact" w:line="240"/>
              <w:jc w:val="both"/>
              <w:rPr>
                <w:b/>
                <w:sz w:val="22"/>
              </w:rPr>
            </w:pPr>
            <w:r>
              <w:rPr>
                <w:b/>
                <w:sz w:val="22"/>
              </w:rPr>
              <w:t>ENRON POWER MARKETING, INC.</w:t>
            </w:r>
          </w:p>
          <w:p>
            <w:pPr>
              <w:pStyle w:val="Normal"/>
              <w:tabs>
                <w:tab w:val="clear" w:pos="720"/>
                <w:tab w:val="left" w:pos="4410" w:leader="none"/>
              </w:tabs>
              <w:spacing w:lineRule="exact" w:line="240"/>
              <w:jc w:val="both"/>
              <w:rPr>
                <w:b/>
                <w:sz w:val="22"/>
              </w:rPr>
            </w:pPr>
            <w:r>
              <w:rPr>
                <w:b/>
                <w:sz w:val="22"/>
              </w:rPr>
            </w:r>
          </w:p>
          <w:p>
            <w:pPr>
              <w:pStyle w:val="Normal"/>
              <w:tabs>
                <w:tab w:val="clear" w:pos="720"/>
                <w:tab w:val="left" w:pos="4410" w:leader="none"/>
              </w:tabs>
              <w:spacing w:lineRule="exact" w:line="240"/>
              <w:jc w:val="both"/>
              <w:rPr>
                <w:sz w:val="22"/>
              </w:rPr>
            </w:pPr>
            <w:r>
              <w:rPr>
                <w:sz w:val="22"/>
              </w:rPr>
            </w:r>
          </w:p>
          <w:p>
            <w:pPr>
              <w:pStyle w:val="Normal"/>
              <w:tabs>
                <w:tab w:val="clear" w:pos="720"/>
                <w:tab w:val="left" w:pos="4410" w:leader="none"/>
              </w:tabs>
              <w:spacing w:lineRule="exact" w:line="240"/>
              <w:jc w:val="both"/>
              <w:rPr>
                <w:sz w:val="22"/>
              </w:rPr>
            </w:pPr>
            <w:r>
              <w:rPr>
                <w:sz w:val="22"/>
              </w:rPr>
            </w:r>
          </w:p>
          <w:p>
            <w:pPr>
              <w:pStyle w:val="Normal"/>
              <w:tabs>
                <w:tab w:val="clear" w:pos="720"/>
                <w:tab w:val="left" w:pos="4410" w:leader="none"/>
              </w:tabs>
              <w:spacing w:lineRule="exact" w:line="240"/>
              <w:jc w:val="both"/>
              <w:rPr/>
            </w:pPr>
            <w:r>
              <w:rPr>
                <w:sz w:val="22"/>
              </w:rPr>
              <w:t>By:</w:t>
            </w:r>
            <w:r>
              <w:rPr>
                <w:sz w:val="22"/>
                <w:u w:val="single"/>
              </w:rPr>
              <w:tab/>
            </w:r>
          </w:p>
          <w:p>
            <w:pPr>
              <w:pStyle w:val="Normal"/>
              <w:tabs>
                <w:tab w:val="clear" w:pos="720"/>
                <w:tab w:val="left" w:pos="4410" w:leader="none"/>
              </w:tabs>
              <w:spacing w:lineRule="exact" w:line="240"/>
              <w:jc w:val="both"/>
              <w:rPr>
                <w:sz w:val="22"/>
              </w:rPr>
            </w:pPr>
            <w:r>
              <w:rPr>
                <w:sz w:val="22"/>
              </w:rPr>
              <w:t>Name:</w:t>
            </w:r>
            <w:r>
              <w:rPr>
                <w:sz w:val="22"/>
                <w:u w:val="single"/>
              </w:rPr>
              <w:tab/>
            </w:r>
          </w:p>
          <w:p>
            <w:pPr>
              <w:pStyle w:val="Normal"/>
              <w:tabs>
                <w:tab w:val="clear" w:pos="720"/>
                <w:tab w:val="left" w:pos="4410" w:leader="none"/>
              </w:tabs>
              <w:spacing w:lineRule="exact" w:line="240"/>
              <w:jc w:val="both"/>
              <w:rPr>
                <w:sz w:val="22"/>
              </w:rPr>
            </w:pPr>
            <w:r>
              <w:rPr>
                <w:sz w:val="22"/>
              </w:rPr>
              <w:t>Title:</w:t>
            </w:r>
            <w:r>
              <w:rPr>
                <w:sz w:val="22"/>
                <w:u w:val="single"/>
              </w:rPr>
              <w:tab/>
            </w:r>
          </w:p>
          <w:p>
            <w:pPr>
              <w:pStyle w:val="Normal"/>
              <w:tabs>
                <w:tab w:val="clear" w:pos="720"/>
                <w:tab w:val="left" w:pos="4410" w:leader="none"/>
              </w:tabs>
              <w:spacing w:lineRule="exact" w:line="240"/>
              <w:jc w:val="both"/>
              <w:rPr>
                <w:sz w:val="22"/>
              </w:rPr>
            </w:pPr>
            <w:r>
              <w:rPr>
                <w:sz w:val="22"/>
              </w:rPr>
            </w:r>
          </w:p>
        </w:tc>
        <w:tc>
          <w:tcPr>
            <w:tcW w:w="5220" w:type="dxa"/>
            <w:tcBorders/>
          </w:tcPr>
          <w:p>
            <w:pPr>
              <w:pStyle w:val="Normal"/>
              <w:tabs>
                <w:tab w:val="clear" w:pos="720"/>
                <w:tab w:val="left" w:pos="4752" w:leader="none"/>
              </w:tabs>
              <w:spacing w:lineRule="exact" w:line="240"/>
              <w:jc w:val="both"/>
              <w:rPr>
                <w:b/>
                <w:sz w:val="22"/>
              </w:rPr>
            </w:pPr>
            <w:r>
              <w:rPr>
                <w:b/>
                <w:sz w:val="22"/>
              </w:rPr>
              <w:t>MERRILL LYNCH CAPITAL SERVICES, INC.</w:t>
            </w:r>
          </w:p>
          <w:p>
            <w:pPr>
              <w:pStyle w:val="Normal"/>
              <w:tabs>
                <w:tab w:val="clear" w:pos="720"/>
                <w:tab w:val="left" w:pos="4752" w:leader="none"/>
              </w:tabs>
              <w:spacing w:lineRule="exact" w:line="240"/>
              <w:jc w:val="both"/>
              <w:rPr>
                <w:b/>
                <w:sz w:val="22"/>
              </w:rPr>
            </w:pPr>
            <w:r>
              <w:rPr>
                <w:b/>
                <w:sz w:val="22"/>
              </w:rPr>
            </w:r>
          </w:p>
          <w:p>
            <w:pPr>
              <w:pStyle w:val="Normal"/>
              <w:tabs>
                <w:tab w:val="clear" w:pos="720"/>
                <w:tab w:val="left" w:pos="4752" w:leader="none"/>
              </w:tabs>
              <w:spacing w:lineRule="exact" w:line="240"/>
              <w:jc w:val="both"/>
              <w:rPr>
                <w:sz w:val="22"/>
              </w:rPr>
            </w:pPr>
            <w:r>
              <w:rPr>
                <w:sz w:val="22"/>
              </w:rPr>
            </w:r>
          </w:p>
          <w:p>
            <w:pPr>
              <w:pStyle w:val="Normal"/>
              <w:tabs>
                <w:tab w:val="clear" w:pos="720"/>
                <w:tab w:val="left" w:pos="4752" w:leader="none"/>
              </w:tabs>
              <w:spacing w:lineRule="exact" w:line="240"/>
              <w:jc w:val="both"/>
              <w:rPr>
                <w:sz w:val="22"/>
              </w:rPr>
            </w:pPr>
            <w:r>
              <w:rPr>
                <w:sz w:val="22"/>
              </w:rPr>
            </w:r>
          </w:p>
          <w:p>
            <w:pPr>
              <w:pStyle w:val="Normal"/>
              <w:tabs>
                <w:tab w:val="clear" w:pos="720"/>
                <w:tab w:val="left" w:pos="4752" w:leader="none"/>
              </w:tabs>
              <w:spacing w:lineRule="exact" w:line="240"/>
              <w:jc w:val="both"/>
              <w:rPr/>
            </w:pPr>
            <w:r>
              <w:rPr>
                <w:sz w:val="22"/>
              </w:rPr>
              <w:t>By:</w:t>
            </w:r>
            <w:r>
              <w:rPr>
                <w:sz w:val="22"/>
                <w:u w:val="single"/>
              </w:rPr>
              <w:tab/>
            </w:r>
          </w:p>
          <w:p>
            <w:pPr>
              <w:pStyle w:val="Normal"/>
              <w:tabs>
                <w:tab w:val="clear" w:pos="720"/>
                <w:tab w:val="left" w:pos="4752" w:leader="none"/>
              </w:tabs>
              <w:spacing w:lineRule="exact" w:line="240"/>
              <w:jc w:val="both"/>
              <w:rPr>
                <w:sz w:val="22"/>
              </w:rPr>
            </w:pPr>
            <w:r>
              <w:rPr>
                <w:sz w:val="22"/>
              </w:rPr>
              <w:t>Name:</w:t>
            </w:r>
            <w:r>
              <w:rPr>
                <w:sz w:val="22"/>
                <w:u w:val="single"/>
              </w:rPr>
              <w:tab/>
            </w:r>
          </w:p>
          <w:p>
            <w:pPr>
              <w:pStyle w:val="Normal"/>
              <w:tabs>
                <w:tab w:val="clear" w:pos="720"/>
                <w:tab w:val="left" w:pos="4752" w:leader="none"/>
              </w:tabs>
              <w:spacing w:lineRule="exact" w:line="240"/>
              <w:jc w:val="both"/>
              <w:rPr>
                <w:sz w:val="22"/>
              </w:rPr>
            </w:pPr>
            <w:r>
              <w:rPr>
                <w:sz w:val="22"/>
              </w:rPr>
              <w:t>Title:</w:t>
            </w:r>
            <w:r>
              <w:rPr>
                <w:sz w:val="22"/>
                <w:u w:val="single"/>
              </w:rPr>
              <w:tab/>
            </w:r>
          </w:p>
          <w:p>
            <w:pPr>
              <w:pStyle w:val="Normal"/>
              <w:tabs>
                <w:tab w:val="clear" w:pos="720"/>
                <w:tab w:val="left" w:pos="4752" w:leader="none"/>
              </w:tabs>
              <w:spacing w:lineRule="exact" w:line="240"/>
              <w:jc w:val="both"/>
              <w:rPr>
                <w:sz w:val="22"/>
              </w:rPr>
            </w:pPr>
            <w:r>
              <w:rPr>
                <w:sz w:val="22"/>
              </w:rPr>
            </w:r>
          </w:p>
        </w:tc>
      </w:tr>
    </w:tbl>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/mnt/main-storage/datasets/enron-docs/doc/Merrill_Power_Amendment_1-bba973bbe557ae0ced310e71098045e1568d4fe1bddfcb53b1a6ee73d9d2cb01.doc</w:t>
    </w:r>
    <w:r>
      <w:rPr>
        <w:sz w:val="16"/>
        <w:lang w:eastAsia="en-US"/>
      </w:rPr>
      <w:fldChar w:fldCharType="end"/>
    </w:r>
  </w:p>
  <w:p>
    <w:pPr>
      <w:pStyle w:val="Normal"/>
      <w:ind w:end="-36"/>
      <w:jc w:val="center"/>
      <w:rPr>
        <w:sz w:val="16"/>
      </w:rPr>
    </w:pPr>
    <w:r>
      <w:rPr>
        <w:sz w:val="16"/>
      </w:rPr>
    </w:r>
  </w:p>
  <w:p>
    <w:pPr>
      <w:pStyle w:val="Normal"/>
      <w:ind w:end="-36"/>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mallCap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720" w:start="720" w:end="0"/>
    </w:pPr>
    <w:rPr>
      <w:sz w:val="22"/>
    </w:rPr>
  </w:style>
  <w:style w:type="paragraph" w:styleId="BlockText">
    <w:name w:val="Block Text"/>
    <w:basedOn w:val="Normal"/>
    <w:qFormat/>
    <w:pPr>
      <w:ind w:hanging="0" w:start="1440" w:end="72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1999-12-29T15:15:00Z</dcterms:created>
  <dc:creator>mheard</dc:creator>
  <dc:description/>
  <dc:language>en-CA</dc:language>
  <cp:lastModifiedBy>Brenda Whitehead</cp:lastModifiedBy>
  <cp:lastPrinted>1999-12-29T14:57:00Z</cp:lastPrinted>
  <dcterms:modified xsi:type="dcterms:W3CDTF">1999-12-29T18:27:00Z</dcterms:modified>
  <cp:revision>6</cp:revision>
  <dc:subject/>
  <dc:title>[FIRST] AMENDMENT TO [ISDA] MASTER AGREEMENT</dc:title>
</cp:coreProperties>
</file>