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ind w:firstLine="1764" w:start="0" w:end="0"/>
              <w:jc w:val="start"/>
              <w:rPr/>
            </w:pPr>
            <w:r>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(DAILY CALL OPTION)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sz w:val="22"/>
        </w:rPr>
      </w:pPr>
      <w:r>
        <w:rPr>
          <w:sz w:val="22"/>
        </w:rPr>
        <w:t>To:</w:t>
        <w:tab/>
        <w:t>Merrill Lynch Capital Services, Inc. ("Counterparty")</w:t>
      </w:r>
    </w:p>
    <w:p>
      <w:pPr>
        <w:pStyle w:val="Normal"/>
        <w:tabs>
          <w:tab w:val="clear" w:pos="720"/>
          <w:tab w:val="left" w:pos="2160" w:leader="none"/>
          <w:tab w:val="left" w:pos="6480" w:leader="none"/>
        </w:tabs>
        <w:ind w:start="-720" w:end="0"/>
        <w:rPr>
          <w:sz w:val="22"/>
        </w:rPr>
      </w:pPr>
      <w:r>
        <w:rPr>
          <w:sz w:val="22"/>
        </w:rPr>
        <w:t>Attention:</w:t>
        <w:tab/>
        <w:t>John Paotano – Global Power Trading Operations</w:t>
      </w:r>
    </w:p>
    <w:p>
      <w:pPr>
        <w:pStyle w:val="Normal"/>
        <w:tabs>
          <w:tab w:val="clear" w:pos="720"/>
          <w:tab w:val="left" w:pos="2160" w:leader="none"/>
          <w:tab w:val="left" w:pos="6480" w:leader="none"/>
        </w:tabs>
        <w:ind w:start="-720" w:end="0"/>
        <w:rPr>
          <w:sz w:val="22"/>
        </w:rPr>
      </w:pPr>
      <w:r>
        <w:rPr>
          <w:sz w:val="22"/>
        </w:rPr>
        <w:t>Fax No.:</w:t>
        <w:tab/>
        <w:t>212-449-0762</w:t>
      </w:r>
    </w:p>
    <w:p>
      <w:pPr>
        <w:pStyle w:val="Normal"/>
        <w:tabs>
          <w:tab w:val="clear" w:pos="720"/>
          <w:tab w:val="left" w:pos="2160" w:leader="none"/>
          <w:tab w:val="left" w:pos="6480" w:leader="none"/>
        </w:tabs>
        <w:ind w:start="-720" w:end="0"/>
        <w:rPr>
          <w:sz w:val="22"/>
        </w:rPr>
      </w:pPr>
      <w:r>
        <w:rPr>
          <w:sz w:val="22"/>
        </w:rPr>
        <w:t>From:</w:t>
        <w:tab/>
        <w:t>Enron Power Marketing, Inc. ("EPMI")</w:t>
      </w:r>
    </w:p>
    <w:p>
      <w:pPr>
        <w:pStyle w:val="Norma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dated as of December ____, 1999,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Notional Quantity per Energy Index Point per</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Calculation Period:</w:t>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For each Energy Index Point, the Energy Quantity, if any, for such Energy Index Point, as determined by Buyer on a daily basis, all as further defined below</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December _____, 1999</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Daily Call Options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U.S.$______ per Month due from Buyer to Seller from the Effective Date through the Termination Date</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See "Payment" Section</w:t>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8:00 a.m. Central Prevailing Time on the Business Day prior to the Calculation Period (assuming that EPMI has exercised its Daily Call Option), or another specified time as mutually agreed upon by the parties  </w:t>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w:t>
        <w:tab/>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2700" w:start="2700" w:end="0"/>
        <w:rPr>
          <w:sz w:val="22"/>
        </w:rPr>
      </w:pPr>
      <w:r>
        <w:rPr>
          <w:sz w:val="22"/>
        </w:rPr>
        <w:t>Notice of Exercise:</w:t>
        <w:tab/>
        <w:tab/>
        <w:t>An irrevocable notice given by EPMI to Counterparty (which may be given orally, including by telephone, or in writing) of its election to enter into each Daily Call Option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calendar day commencing with </w:t>
      </w:r>
      <w:r>
        <w:rPr>
          <w:color w:val="000000"/>
          <w:sz w:val="22"/>
        </w:rPr>
        <w:t>[September 1, 2000] and ending on [August 31, 2004] (excluding Saturdays, Sundays and NERC holidays) for which Buyer has exercised its Daily Call Option as set forth above</w:t>
      </w:r>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tabs>
          <w:tab w:val="clear" w:pos="90"/>
          <w:tab w:val="left" w:pos="0" w:leader="none"/>
          <w:tab w:val="left" w:pos="2160" w:leader="none"/>
          <w:tab w:val="left" w:pos="4140" w:leader="none"/>
          <w:tab w:val="left" w:pos="4320" w:leader="none"/>
          <w:tab w:val="left" w:pos="6480" w:leader="none"/>
        </w:tabs>
        <w:rPr/>
      </w:pPr>
      <w:r>
        <w:rPr>
          <w:b/>
          <w:sz w:val="22"/>
          <w:u w:val="single"/>
        </w:rPr>
        <w:t>Fixed Amount Details</w:t>
      </w:r>
      <w:r>
        <w:rPr>
          <w:b/>
          <w:sz w:val="22"/>
        </w:rPr>
        <w:t>:</w:t>
      </w:r>
    </w:p>
    <w:p>
      <w:pPr>
        <w:pStyle w:val="BodyTextIndent"/>
        <w:keepNext w:val="true"/>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r>
    </w:p>
    <w:p>
      <w:pPr>
        <w:pStyle w:val="BodyTextIndent"/>
        <w:keepNext w:val="true"/>
        <w:tabs>
          <w:tab w:val="clear" w:pos="90"/>
          <w:tab w:val="left" w:pos="0" w:leader="none"/>
          <w:tab w:val="left" w:pos="2160" w:leader="none"/>
          <w:tab w:val="left" w:pos="2700" w:leader="none"/>
          <w:tab w:val="left" w:pos="4320" w:leader="none"/>
          <w:tab w:val="left" w:pos="6480" w:leader="none"/>
        </w:tabs>
        <w:rPr>
          <w:sz w:val="22"/>
        </w:rPr>
      </w:pPr>
      <w:r>
        <w:rPr>
          <w:sz w:val="22"/>
        </w:rPr>
        <w:tab/>
        <w:t>(Buyer)</w:t>
        <w:tab/>
        <w:tab/>
        <w:t>EPMI</w:t>
      </w:r>
    </w:p>
    <w:p>
      <w:pPr>
        <w:pStyle w:val="BodyTextIndent"/>
        <w:keepNext w:val="true"/>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Fixed Price</w:t>
        <w:tab/>
        <w:tab/>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The Strike Price (in U.S.$) for each Calculation Period for each Energy Index Point shall be calculated pursuant to the following formula:</w:t>
      </w:r>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rPr>
          <w:sz w:val="22"/>
        </w:rPr>
      </w:pPr>
      <w:r>
        <w:rPr>
          <w:sz w:val="22"/>
        </w:rPr>
        <w:tab/>
        <w:tab/>
        <w:t>[(Associated Gas Index for such Energy Index Point 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"Associated Gas Index" is defined for each Energy Index Point as set forth in Exhibit II attached hereto</w:t>
      </w:r>
    </w:p>
    <w:p>
      <w:pPr>
        <w:pStyle w:val="BodyTextIndent"/>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pPr>
      <w:r>
        <w:rPr>
          <w:b/>
          <w:sz w:val="22"/>
          <w:u w:val="single"/>
        </w:rPr>
        <w:t>Floating Amount Details</w:t>
      </w:r>
      <w:r>
        <w:rPr>
          <w:b/>
          <w:sz w:val="22"/>
        </w:rPr>
        <w:t>:</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 the Energy Index for such Energy Index Point</w:t>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Index:</w:t>
            </w:r>
          </w:p>
        </w:tc>
        <w:tc>
          <w:tcPr>
            <w:tcW w:w="6138" w:type="dxa"/>
            <w:tcBorders/>
          </w:tcPr>
          <w:p>
            <w:pPr>
              <w:pStyle w:val="BodyTextIndent"/>
              <w:tabs>
                <w:tab w:val="clear" w:pos="90"/>
                <w:tab w:val="left" w:pos="2160" w:leader="none"/>
                <w:tab w:val="left" w:pos="6480" w:leader="none"/>
              </w:tabs>
              <w:ind w:start="-18" w:end="0"/>
              <w:rPr>
                <w:sz w:val="22"/>
              </w:rPr>
            </w:pPr>
            <w:r>
              <w:rPr>
                <w:sz w:val="22"/>
              </w:rPr>
              <w:t xml:space="preserve">"Energy Index" means for each of the following Energy Index Points as follows: </w:t>
            </w:r>
          </w:p>
          <w:p>
            <w:pPr>
              <w:pStyle w:val="BodyTextIndent"/>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rPr>
            </w:pPr>
            <w:r>
              <w:rPr>
                <w:sz w:val="22"/>
              </w:rPr>
              <w:t>(i)</w:t>
              <w:tab/>
              <w:t>"Into ComEd":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rPr>
            </w:pPr>
            <w:r>
              <w:rPr>
                <w:sz w:val="22"/>
              </w:rPr>
              <w:t>(ii)</w:t>
              <w:tab/>
              <w:t>"Into Cinergy":</w:t>
            </w:r>
          </w:p>
          <w:p>
            <w:pPr>
              <w:pStyle w:val="BodyTextIndent"/>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tabs>
                <w:tab w:val="clear" w:pos="90"/>
                <w:tab w:val="left" w:pos="432" w:leader="none"/>
                <w:tab w:val="left" w:pos="2160" w:leader="none"/>
                <w:tab w:val="left" w:pos="6480" w:leader="none"/>
              </w:tabs>
              <w:ind w:start="0" w:end="0"/>
              <w:rPr>
                <w:sz w:val="22"/>
              </w:rPr>
            </w:pPr>
            <w:r>
              <w:rPr>
                <w:sz w:val="22"/>
              </w:rPr>
              <w:t>(iii)</w:t>
              <w:tab/>
              <w:t>"Into TVA":</w:t>
            </w:r>
          </w:p>
          <w:p>
            <w:pPr>
              <w:pStyle w:val="BodyTextIndent"/>
              <w:keepNext w:val="true"/>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Index Point:</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Each of the following three (3) locations shall be considered an Energy Index Point:</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ComEd"</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Cinergy"</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TVA"</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Quantity:</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On each Business Day that Buyer properly exercises its Daily Call Option, Buyer shall notify Seller of the Energy Quantity, if any, that Buyer elects to designate with respect to each Energy Index Point for such Calculation Period.  Buyer shall have the right, but not the obligation, to designate an Energy Quantity with respect to any or all of the Energy Index Points.  The Energy Quantity for each Energy Index Point selected by Buyer shall be equal to the following:</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16 x the "Hourly Energy Quantity" selected by Buyer for such Energy Index Point, as further defined below</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"Hourly Energy Quantity" selected by Buyer shall be a multiple of 50 between zero and the Maximum Hourly Energy Quantity set forth on Exhibit I attached hereto, and during Summer and Non-Summer On-Peak Hours.  The Maximum Hourly Energy Quantity shall vary by month and by Energy Index Point.  For purposes of determining the applicable Maximum Hourly Energy Quantity, the Month in which the Calculation Period is included shall determine the applicable Month.</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jc w:val="start"/>
              <w:rPr>
                <w:sz w:val="22"/>
              </w:rPr>
            </w:pPr>
            <w:r>
              <w:rPr>
                <w:sz w:val="22"/>
              </w:rPr>
              <w:t>Cash Settlement Amount for each Energy Index Point:</w:t>
            </w:r>
          </w:p>
        </w:tc>
        <w:tc>
          <w:tcPr>
            <w:tcW w:w="613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t>For each Calculation Period, the Cash Settlement Amount for each Energy Index Point shall be calculated pursuant to the following formula:</w:t>
            </w:r>
          </w:p>
        </w:tc>
      </w:tr>
    </w:tbl>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Quantity for such Energy Index Point x (Energy Index for such Energy Index Point - Strike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sz w:val="22"/>
        </w:rPr>
      </w:pPr>
      <w:r>
        <w:rPr>
          <w:sz w:val="22"/>
        </w:rPr>
        <w:tab/>
        <w:tab/>
        <w:tab/>
        <w:t>and, provided, further, to the extent the Cash Settlement Amount for a particular Energy Index Point is less than zero, then such Cash Settlement Amount shall be automatically reduced to zero.</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t>Cash Settlement Amount per</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t>Calculation Period:</w:t>
        <w:tab/>
        <w:tab/>
        <w:t>The Cash Settlement Amount per Calculation Period shall be the sum of the Cash Settlement Amounts for each Energy Index Point.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pPr>
      <w:r>
        <w:rPr>
          <w:b/>
          <w:sz w:val="22"/>
          <w:u w:val="single"/>
        </w:rPr>
        <w:t>Payments</w:t>
      </w:r>
      <w:r>
        <w:rPr>
          <w:sz w:val="22"/>
        </w:rPr>
        <w:t>:</w:t>
      </w:r>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rPr>
      </w:pPr>
      <w:r>
        <w:rPr>
          <w:sz w:val="22"/>
        </w:rPr>
      </w:r>
    </w:p>
    <w:p>
      <w:pPr>
        <w:pStyle w:val="BodyTextIndent"/>
        <w:tabs>
          <w:tab w:val="clear" w:pos="90"/>
          <w:tab w:val="clear" w:pos="6480"/>
          <w:tab w:val="left" w:pos="0" w:leader="none"/>
          <w:tab w:val="left" w:pos="2160" w:leader="none"/>
          <w:tab w:val="left" w:pos="2700" w:leader="none"/>
          <w:tab w:val="left" w:pos="5760" w:leader="none"/>
          <w:tab w:val="left" w:pos="6840" w:leader="none"/>
        </w:tabs>
        <w:ind w:hanging="3420" w:start="2700" w:end="0"/>
        <w:rPr/>
      </w:pPr>
      <w:r>
        <w:rPr>
          <w:sz w:val="22"/>
        </w:rPr>
        <w:tab/>
        <w:t>Billing and Payment:</w:t>
        <w:tab/>
        <w:tab/>
        <w:t>Buyer shall render to Seller for each Month a statement setting forth: (a) the total Premium due Seller for the Month, (b) the total of the Cash Settlement Amounts for each Calculation Period in the preceding Month which are due to Buyer from Seller, and (c) any other charges, payments or credits between the Parties during the preceding Month.  On or before the 20</w:t>
      </w:r>
      <w:r>
        <w:rPr>
          <w:sz w:val="22"/>
          <w:vertAlign w:val="superscript"/>
        </w:rPr>
        <w:t>th</w:t>
      </w:r>
      <w:r>
        <w:rPr>
          <w:sz w:val="22"/>
        </w:rPr>
        <w:t xml:space="preserve"> Day of each Month in which Buyer's statement is received or the 10</w:t>
      </w:r>
      <w:r>
        <w:rPr>
          <w:sz w:val="22"/>
          <w:vertAlign w:val="superscript"/>
        </w:rPr>
        <w:t>th</w:t>
      </w:r>
      <w:r>
        <w:rPr>
          <w:sz w:val="22"/>
        </w:rPr>
        <w:t xml:space="preserve"> Day after such statement is received, whichever is later, or if such Day is not a Business Day, the immediately following Business Day, the appropriate Party shall render, by wire transfer, the amount set forth on such statement to the payment address provided in the Agreement.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
        <w:t>Additional Provisions</w:t>
      </w:r>
      <w:r>
        <w:rPr>
          <w:sz w:val="22"/>
        </w:rPr>
        <w: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Heading2"/>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rPr>
          <w:b/>
        </w:rPr>
      </w:pPr>
      <w:r>
        <w:rPr>
          <w:b/>
        </w:rPr>
      </w:r>
    </w:p>
    <w:p>
      <w:pPr>
        <w:pStyle w:val="Justified"/>
        <w:ind w:start="720" w:end="0"/>
        <w:rPr/>
      </w:pPr>
      <w:r>
        <w:rPr>
          <w:b/>
          <w:i/>
        </w:rPr>
        <w:t>"Month"</w:t>
      </w:r>
      <w:r>
        <w:rPr/>
        <w:t xml:space="preserve"> means a calendar month.</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w:t>
      </w:r>
      <w:r>
        <w:rPr/>
        <w:t xml:space="preserve"> means the period each Year from January 1 through March 31 (inclusive) and from November 1 through December 31 (inclusive), excluding Saturdays, Sundays, and NERC holidays.</w:t>
      </w:r>
    </w:p>
    <w:p>
      <w:pPr>
        <w:pStyle w:val="Justified"/>
        <w:ind w:start="720" w:end="0"/>
        <w:rPr/>
      </w:pPr>
      <w:r>
        <w:rPr>
          <w:b/>
          <w:i/>
        </w:rPr>
        <w:t>"On-Peak Hours"</w:t>
      </w:r>
      <w:r>
        <w:rPr/>
        <w:t xml:space="preserve"> means during the Summer,and Non-Summer, HE 0700 Central Prevailing Time to HE 2200 Central Prevailing Time..</w:t>
      </w:r>
      <w:r>
        <w:rPr>
          <w:b/>
          <w:i/>
        </w:rPr>
        <w:t xml:space="preserve"> </w:t>
      </w:r>
    </w:p>
    <w:p>
      <w:pPr>
        <w:pStyle w:val="Justified"/>
        <w:ind w:start="720" w:end="0"/>
        <w:rPr/>
      </w:pPr>
      <w:r>
        <w:rPr>
          <w:b/>
          <w:i/>
        </w:rPr>
        <w:t>"Summer"</w:t>
      </w:r>
      <w:r>
        <w:rPr/>
        <w:t xml:space="preserve"> means the period each Year from April 1 through October 31 (inclusive), excluding Saturdays, Sundays, and NERC holidays.</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t>"</w:t>
      </w:r>
      <w:r>
        <w:rPr>
          <w:b/>
          <w:i/>
        </w:rPr>
        <w:t>Year</w:t>
      </w:r>
      <w:r>
        <w:rPr/>
        <w:t>" means a calendar year.</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 Inc.</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Maximum Hourly Energy Quantity per Energy Index Point</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949"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83"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949" w:type="dxa"/>
            <w:tcBorders>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83"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56" w:type="dxa"/>
            <w:tcBorders>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949" w:type="dxa"/>
            <w:tcBorders>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83"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56" w:type="dxa"/>
            <w:tcBorders>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150"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5"/>
          <w:headerReference w:type="first" r:id="rId6"/>
          <w:footerReference w:type="default" r:id="rId7"/>
          <w:footerReference w:type="first" r:id="rId8"/>
          <w:type w:val="nextPage"/>
          <w:pgSz w:w="12240" w:h="15840"/>
          <w:pgMar w:left="1800" w:right="1800" w:gutter="0" w:header="720" w:top="810" w:footer="390" w:bottom="990"/>
          <w:pgNumType w:fmt="decimal"/>
          <w:formProt w:val="false"/>
          <w:textDirection w:val="lrTb"/>
          <w:docGrid w:type="default" w:linePitch="360" w:charSpace="0"/>
        </w:sectPr>
      </w:pP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ind w:hanging="0" w:start="0"/>
        <w:rPr/>
      </w:pPr>
      <w:r>
        <w:rPr/>
        <w:t>ASSOCIATED GAS INDEX</w:t>
      </w:r>
    </w:p>
    <w:p>
      <w:pPr>
        <w:pStyle w:val="Normal"/>
        <w:rPr/>
      </w:pPr>
      <w:r>
        <w:rPr/>
      </w:r>
    </w:p>
    <w:p>
      <w:pPr>
        <w:pStyle w:val="Normal"/>
        <w:rPr/>
      </w:pPr>
      <w:r>
        <w:rPr/>
        <w:t>The Associated Gas Index for each Energy Index Point shall be:</w:t>
      </w:r>
    </w:p>
    <w:p>
      <w:pPr>
        <w:pStyle w:val="Normal"/>
        <w:rPr/>
      </w:pPr>
      <w:r>
        <w:rPr/>
        <w:t>Into TVA Summer Gas Index</w:t>
        <w:tab/>
        <w:tab/>
        <w:t xml:space="preserve">= </w:t>
        <w:tab/>
        <w:t xml:space="preserve">Henry Hub </w:t>
        <w:tab/>
        <w:t>+  US$0.16</w:t>
      </w:r>
    </w:p>
    <w:p>
      <w:pPr>
        <w:pStyle w:val="Normal"/>
        <w:rPr/>
      </w:pPr>
      <w:r>
        <w:rPr/>
        <w:t>Into TVA Non-Summer Gas Index</w:t>
        <w:tab/>
        <w:tab/>
        <w:t xml:space="preserve">= </w:t>
        <w:tab/>
        <w:t xml:space="preserve">Henry Hub </w:t>
        <w:tab/>
        <w:t>+  US$0.32</w:t>
      </w:r>
    </w:p>
    <w:p>
      <w:pPr>
        <w:pStyle w:val="Normal"/>
        <w:rPr/>
      </w:pPr>
      <w:r>
        <w:rPr/>
      </w:r>
    </w:p>
    <w:p>
      <w:pPr>
        <w:pStyle w:val="Normal"/>
        <w:rPr/>
      </w:pPr>
      <w:r>
        <w:rPr/>
        <w:t>Into ComEd Summer Gas Index</w:t>
        <w:tab/>
        <w:tab/>
        <w:t xml:space="preserve">= </w:t>
        <w:tab/>
        <w:t>ANR SE</w:t>
        <w:tab/>
        <w:tab/>
        <w:t>+  US$0.20</w:t>
      </w:r>
    </w:p>
    <w:p>
      <w:pPr>
        <w:pStyle w:val="Normal"/>
        <w:rPr/>
      </w:pPr>
      <w:r>
        <w:rPr/>
        <w:t>Into ComEd Non-Summer Gas Index</w:t>
        <w:tab/>
        <w:t xml:space="preserve">= </w:t>
        <w:tab/>
        <w:t>ANR SE</w:t>
        <w:tab/>
        <w:tab/>
        <w:t>+  US$0.53</w:t>
      </w:r>
    </w:p>
    <w:p>
      <w:pPr>
        <w:pStyle w:val="Normal"/>
        <w:rPr/>
      </w:pPr>
      <w:r>
        <w:rPr/>
      </w:r>
    </w:p>
    <w:p>
      <w:pPr>
        <w:pStyle w:val="Normal"/>
        <w:rPr/>
      </w:pPr>
      <w:r>
        <w:rPr/>
        <w:t>Into Cinergy Summer Gas Index</w:t>
        <w:tab/>
        <w:tab/>
        <w:t>=</w:t>
        <w:tab/>
        <w:t>Henry Hub</w:t>
        <w:tab/>
        <w:t>+  US$0.23</w:t>
      </w:r>
    </w:p>
    <w:p>
      <w:pPr>
        <w:pStyle w:val="Normal"/>
        <w:rPr/>
      </w:pPr>
      <w:r>
        <w:rPr/>
        <w:t>Into Cinergy Non-Summer Gas Index</w:t>
        <w:tab/>
        <w:t>=</w:t>
        <w:tab/>
        <w:t>Henry Hub</w:t>
        <w:tab/>
        <w:t>+  US$0.40</w:t>
      </w:r>
    </w:p>
    <w:p>
      <w:pPr>
        <w:pStyle w:val="Normal"/>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 xml:space="preserve">and, where, </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sectPr>
      <w:headerReference w:type="default" r:id="rId9"/>
      <w:headerReference w:type="first" r:id="rId10"/>
      <w:footerReference w:type="default" r:id="rId11"/>
      <w:footerReference w:type="first" r:id="rId12"/>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/mnt/main-storage/datasets/enron-docs/doc/Merrill_Power3-6b6d84f1b76f2c167bfc39e0d9d23ef812cc8e7d51afb102cf0ce92f074e5171.doc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/mnt/main-storage/datasets/enron-docs/doc/Merrill_Power3-6b6d84f1b76f2c167bfc39e0d9d23ef812cc8e7d51afb102cf0ce92f074e5171.doc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/mnt/main-storage/datasets/enron-docs/doc/Merrill_Power3-6b6d84f1b76f2c167bfc39e0d9d23ef812cc8e7d51afb102cf0ce92f074e5171.doc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p>
    <w:pPr>
      <w:pStyle w:val="Header"/>
      <w:rPr>
        <w:rFonts w:ascii="Arial" w:hAnsi="Arial" w:cs="Arial"/>
        <w:sz w:val="16"/>
      </w:rPr>
    </w:pPr>
    <w:r>
      <w:rPr>
        <w:rFonts w:cs="Arial" w:ascii="Arial" w:hAnsi="Arial"/>
        <w:sz w:val="16"/>
      </w:rPr>
      <w:tab/>
    </w:r>
  </w:p>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3z0">
    <w:name w:val="WW8Num23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rFonts w:ascii="Times New Roman" w:hAnsi="Times New Roman" w:cs="Times New Roman"/>
      <w:b/>
      <w:i w:val="false"/>
      <w:sz w:val="20"/>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1999-12-17T16:49:00Z</dcterms:created>
  <dc:creator>wende warren</dc:creator>
  <dc:description/>
  <dc:language>en-CA</dc:language>
  <cp:lastModifiedBy>rdecker</cp:lastModifiedBy>
  <cp:lastPrinted>1999-12-17T13:19:00Z</cp:lastPrinted>
  <dcterms:modified xsi:type="dcterms:W3CDTF">1999-12-17T16:50:00Z</dcterms:modified>
  <cp:revision>3</cp:revision>
  <dc:subject/>
  <dc:title> </dc:title>
</cp:coreProperties>
</file>