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3">
                      <wp:simplePos x="0" y="0"/>
                      <wp:positionH relativeFrom="margin">
                        <wp:posOffset>4617720</wp:posOffset>
                      </wp:positionH>
                      <wp:positionV relativeFrom="paragraph">
                        <wp:posOffset>-822960</wp:posOffset>
                      </wp:positionV>
                      <wp:extent cx="1554480" cy="365760"/>
                      <wp:effectExtent l="0" t="0" r="0" b="0"/>
                      <wp:wrapNone/>
                      <wp:docPr id="2" name="Frame1"/>
                      <a:graphic xmlns:a="http://schemas.openxmlformats.org/drawingml/2006/main">
                        <a:graphicData uri="http://schemas.microsoft.com/office/word/2010/wordprocessingShape">
                          <wps:wsp>
                            <wps:cNvSpPr txBox="1"/>
                            <wps:spPr>
                              <a:xfrm>
                                <a:off x="0" y="0"/>
                                <a:ext cx="1554480" cy="365760"/>
                              </a:xfrm>
                              <a:prstGeom prst="rect"/>
                              <a:solidFill>
                                <a:srgbClr val="FFFFFF">
                                  <a:alpha val="0"/>
                                </a:srgbClr>
                              </a:solidFill>
                            </wps:spPr>
                            <wps:txbx>
                              <w:txbxContent>
                                <w:p>
                                  <w:pPr>
                                    <w:pStyle w:val="Normal"/>
                                    <w:rPr>
                                      <w:b/>
                                      <w:smallCaps/>
                                    </w:rPr>
                                  </w:pPr>
                                  <w:r>
                                    <w:rPr>
                                      <w:b/>
                                      <w:smallCaps/>
                                    </w:rPr>
                                    <w:t>Execution Copy</w:t>
                                  </w:r>
                                </w:p>
                              </w:txbxContent>
                            </wps:txbx>
                            <wps:bodyPr anchor="t" lIns="92075" tIns="46355" rIns="92075" bIns="46355">
                              <a:noAutofit/>
                            </wps:bodyPr>
                          </wps:wsp>
                        </a:graphicData>
                      </a:graphic>
                    </wp:anchor>
                  </w:drawing>
                </mc:Choice>
                <mc:Fallback>
                  <w:pict>
                    <v:rect fillcolor="#FFFFFF" style="position:absolute;rotation:-0;width:122.4pt;height:28.8pt;mso-wrap-distance-left:9.05pt;mso-wrap-distance-right:9.05pt;mso-wrap-distance-top:0pt;mso-wrap-distance-bottom:0pt;margin-top:-64.8pt;mso-position-vertical-relative:text;margin-left:363.6pt;mso-position-horizontal-relative:margin">
                      <v:fill opacity="0f"/>
                      <v:textbox inset="0.100694444444444in,0.0506944444444444in,0.100694444444444in,0.0506944444444444in">
                        <w:txbxContent>
                          <w:p>
                            <w:pPr>
                              <w:pStyle w:val="Normal"/>
                              <w:rPr>
                                <w:b/>
                                <w:smallCaps/>
                              </w:rPr>
                            </w:pPr>
                            <w:r>
                              <w:rPr>
                                <w:b/>
                                <w:smallCaps/>
                              </w:rPr>
                              <w:t>Execution Copy</w:t>
                            </w:r>
                          </w:p>
                        </w:txbxContent>
                      </v:textbox>
                      <w10:wrap type="none"/>
                    </v:rect>
                  </w:pict>
                </mc:Fallback>
              </mc:AlternateContent>
            </w:r>
          </w:p>
        </w:tc>
        <w:tc>
          <w:tcPr>
            <w:tcW w:w="4842" w:type="dxa"/>
            <w:tcBorders/>
          </w:tcPr>
          <w:p>
            <w:pPr>
              <w:pStyle w:val="BodyTextIndent2"/>
              <w:ind w:firstLine="1764" w:start="0" w:end="0"/>
              <w:rPr>
                <w:b/>
                <w:sz w:val="22"/>
              </w:rPr>
            </w:pPr>
            <w:r>
              <w:rPr>
                <w:b/>
                <w:sz w:val="22"/>
              </w:rPr>
              <w:t>Enron Power Marketing, Inc.</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Index1"/>
        <w:jc w:val="both"/>
        <w:rPr>
          <w:sz w:val="22"/>
        </w:rPr>
      </w:pPr>
      <w:r>
        <w:rPr>
          <w:sz w:val="22"/>
        </w:rPr>
      </w:r>
    </w:p>
    <w:p>
      <w:pPr>
        <w:pStyle w:val="Normal"/>
        <w:jc w:val="both"/>
        <w:rPr>
          <w:sz w:val="22"/>
        </w:rPr>
      </w:pPr>
      <w:r>
        <w:rPr>
          <w:sz w:val="22"/>
        </w:rPr>
      </w:r>
    </w:p>
    <w:p>
      <w:pPr>
        <w:pStyle w:val="Normal"/>
        <w:jc w:val="both"/>
        <w:rPr>
          <w:sz w:val="22"/>
        </w:rPr>
      </w:pPr>
      <w:r>
        <w:rPr>
          <w:sz w:val="22"/>
        </w:rPr>
        <w:t>December 28, 1999</w:t>
      </w:r>
    </w:p>
    <w:p>
      <w:pPr>
        <w:pStyle w:val="Normal"/>
        <w:jc w:val="both"/>
        <w:rPr>
          <w:b/>
          <w:sz w:val="22"/>
        </w:rPr>
      </w:pPr>
      <w:r>
        <w:rPr>
          <w:b/>
          <w:sz w:val="22"/>
        </w:rPr>
      </w:r>
    </w:p>
    <w:p>
      <w:pPr>
        <w:pStyle w:val="Normal"/>
        <w:jc w:val="both"/>
        <w:rPr>
          <w:b/>
          <w:sz w:val="22"/>
        </w:rPr>
      </w:pPr>
      <w:r>
        <w:rPr>
          <w:b/>
          <w:sz w:val="22"/>
        </w:rPr>
      </w:r>
    </w:p>
    <w:tbl>
      <w:tblPr>
        <w:tblW w:w="5148" w:type="dxa"/>
        <w:jc w:val="start"/>
        <w:tblInd w:w="0" w:type="dxa"/>
        <w:tblLayout w:type="fixed"/>
        <w:tblCellMar>
          <w:top w:w="0" w:type="dxa"/>
          <w:start w:w="108" w:type="dxa"/>
          <w:bottom w:w="0" w:type="dxa"/>
          <w:end w:w="108" w:type="dxa"/>
        </w:tblCellMar>
      </w:tblPr>
      <w:tblGrid>
        <w:gridCol w:w="5148"/>
      </w:tblGrid>
      <w:tr>
        <w:trPr/>
        <w:tc>
          <w:tcPr>
            <w:tcW w:w="5148" w:type="dxa"/>
            <w:tcBorders/>
          </w:tcPr>
          <w:p>
            <w:pPr>
              <w:pStyle w:val="Normal"/>
              <w:keepLines/>
              <w:tabs>
                <w:tab w:val="clear" w:pos="720"/>
                <w:tab w:val="left" w:pos="1350" w:leader="none"/>
                <w:tab w:val="left" w:pos="4320" w:leader="none"/>
              </w:tabs>
              <w:jc w:val="both"/>
              <w:rPr>
                <w:sz w:val="22"/>
              </w:rPr>
            </w:pPr>
            <w:r>
              <w:rPr>
                <w:sz w:val="22"/>
              </w:rPr>
              <w:t>Merrill Lynch Capital Services, Inc.</w:t>
            </w:r>
          </w:p>
        </w:tc>
      </w:tr>
      <w:tr>
        <w:trPr/>
        <w:tc>
          <w:tcPr>
            <w:tcW w:w="5148" w:type="dxa"/>
            <w:tcBorders/>
          </w:tcPr>
          <w:p>
            <w:pPr>
              <w:pStyle w:val="Normal"/>
              <w:keepLines/>
              <w:tabs>
                <w:tab w:val="clear" w:pos="720"/>
                <w:tab w:val="left" w:pos="1350" w:leader="none"/>
                <w:tab w:val="left" w:pos="4320" w:leader="none"/>
              </w:tabs>
              <w:jc w:val="both"/>
              <w:rPr/>
            </w:pPr>
            <w:r>
              <w:rPr>
                <w:sz w:val="22"/>
              </w:rPr>
              <w:t>World Financial Center North Tower, 7</w:t>
            </w:r>
            <w:r>
              <w:rPr>
                <w:sz w:val="22"/>
                <w:vertAlign w:val="superscript"/>
              </w:rPr>
              <w:t>th</w:t>
            </w:r>
            <w:r>
              <w:rPr>
                <w:sz w:val="22"/>
              </w:rPr>
              <w:t xml:space="preserve"> Floor</w:t>
            </w:r>
          </w:p>
        </w:tc>
      </w:tr>
      <w:tr>
        <w:trPr/>
        <w:tc>
          <w:tcPr>
            <w:tcW w:w="5148" w:type="dxa"/>
            <w:tcBorders/>
          </w:tcPr>
          <w:p>
            <w:pPr>
              <w:pStyle w:val="Normal"/>
              <w:keepLines/>
              <w:tabs>
                <w:tab w:val="clear" w:pos="720"/>
                <w:tab w:val="left" w:pos="1350" w:leader="none"/>
                <w:tab w:val="left" w:pos="4320" w:leader="none"/>
              </w:tabs>
              <w:jc w:val="both"/>
              <w:rPr>
                <w:sz w:val="22"/>
              </w:rPr>
            </w:pPr>
            <w:r>
              <w:rPr>
                <w:sz w:val="22"/>
              </w:rPr>
              <w:t>New York, New York  10281-1307</w:t>
            </w:r>
          </w:p>
        </w:tc>
      </w:tr>
      <w:tr>
        <w:trPr/>
        <w:tc>
          <w:tcPr>
            <w:tcW w:w="5148" w:type="dxa"/>
            <w:tcBorders/>
          </w:tcPr>
          <w:p>
            <w:pPr>
              <w:pStyle w:val="Normal"/>
              <w:keepLines/>
              <w:tabs>
                <w:tab w:val="clear" w:pos="720"/>
                <w:tab w:val="left" w:pos="1350" w:leader="none"/>
                <w:tab w:val="left" w:pos="4320" w:leader="none"/>
              </w:tabs>
              <w:jc w:val="both"/>
              <w:rPr>
                <w:sz w:val="22"/>
              </w:rPr>
            </w:pPr>
            <w:r>
              <w:rPr>
                <w:sz w:val="22"/>
              </w:rPr>
              <w:t>Attn.:  Dan Gordon</w:t>
            </w:r>
          </w:p>
        </w:tc>
      </w:tr>
    </w:tbl>
    <w:p>
      <w:pPr>
        <w:pStyle w:val="Heading5"/>
        <w:ind w:hanging="0" w:start="0"/>
        <w:rPr/>
      </w:pPr>
      <w:r>
        <w:rPr/>
        <w:t>CONFIRMATION LETTER</w:t>
      </w:r>
    </w:p>
    <w:p>
      <w:pPr>
        <w:pStyle w:val="Normal"/>
        <w:spacing w:before="0" w:after="240"/>
        <w:jc w:val="center"/>
        <w:rPr>
          <w:b/>
          <w:sz w:val="22"/>
        </w:rPr>
      </w:pPr>
      <w:r>
        <w:rPr>
          <w:b/>
          <w:sz w:val="22"/>
        </w:rPr>
        <w:t>(Daily Call Option)</w:t>
      </w:r>
    </w:p>
    <w:p>
      <w:pPr>
        <w:pStyle w:val="Justified"/>
        <w:keepNext w:val="true"/>
        <w:jc w:val="both"/>
        <w:rPr>
          <w:sz w:val="22"/>
        </w:rPr>
      </w:pPr>
      <w:r>
        <w:rPr>
          <w:sz w:val="22"/>
        </w:rPr>
        <w:t>This Confirmation Letter is being provided pursuant to and in accordance with the Master Energy Purchase and Sale Agreement dated as of May 3, 1999, as amended (the "Master Agreement") between Counterparty and EPMI, and constitutes part of and is subject to all of the terms and provisions of such Master Agreement.  Terms used but not defined herein shall have the meanings ascribed to them in the Master Agreement.  This letter ("Confirmation") shall confirm the agreement reached as of December 28, 1999 between Merrill Lynch Capital Services, Inc. ("Buyer" or "Counterparty") and Enron Power Marketing, Inc. ("Seller" or "EPMI") regarding the sale/purchase of Energy under the terms and conditions as follows:</w:t>
      </w:r>
    </w:p>
    <w:p>
      <w:pPr>
        <w:pStyle w:val="Normal"/>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2898"/>
        <w:gridCol w:w="5850"/>
      </w:tblGrid>
      <w:tr>
        <w:trPr/>
        <w:tc>
          <w:tcPr>
            <w:tcW w:w="2898" w:type="dxa"/>
            <w:tcBorders/>
          </w:tcPr>
          <w:p>
            <w:pPr>
              <w:pStyle w:val="Normal"/>
              <w:spacing w:before="120" w:after="0"/>
              <w:rPr>
                <w:b/>
                <w:smallCaps/>
                <w:sz w:val="22"/>
              </w:rPr>
            </w:pPr>
            <w:r>
              <w:rPr>
                <w:b/>
                <w:smallCaps/>
                <w:sz w:val="22"/>
              </w:rPr>
              <w:t>Seller:</w:t>
            </w:r>
          </w:p>
        </w:tc>
        <w:tc>
          <w:tcPr>
            <w:tcW w:w="5850" w:type="dxa"/>
            <w:tcBorders/>
          </w:tcPr>
          <w:p>
            <w:pPr>
              <w:pStyle w:val="Normal"/>
              <w:tabs>
                <w:tab w:val="clear" w:pos="720"/>
                <w:tab w:val="left" w:pos="5292" w:leader="none"/>
              </w:tabs>
              <w:spacing w:before="120" w:after="0"/>
              <w:jc w:val="both"/>
              <w:rPr>
                <w:sz w:val="22"/>
              </w:rPr>
            </w:pPr>
            <w:r>
              <w:rPr>
                <w:sz w:val="22"/>
              </w:rPr>
              <w:t>EPMI</w:t>
            </w:r>
          </w:p>
        </w:tc>
      </w:tr>
      <w:tr>
        <w:trPr/>
        <w:tc>
          <w:tcPr>
            <w:tcW w:w="2898" w:type="dxa"/>
            <w:tcBorders/>
          </w:tcPr>
          <w:p>
            <w:pPr>
              <w:pStyle w:val="Normal"/>
              <w:spacing w:before="120" w:after="0"/>
              <w:rPr>
                <w:b/>
                <w:smallCaps/>
                <w:sz w:val="22"/>
              </w:rPr>
            </w:pPr>
            <w:r>
              <w:rPr>
                <w:b/>
                <w:smallCaps/>
                <w:sz w:val="22"/>
              </w:rPr>
              <w:t>Buyer:</w:t>
            </w:r>
          </w:p>
        </w:tc>
        <w:tc>
          <w:tcPr>
            <w:tcW w:w="5850" w:type="dxa"/>
            <w:tcBorders/>
          </w:tcPr>
          <w:p>
            <w:pPr>
              <w:pStyle w:val="Heading4"/>
              <w:spacing w:before="120" w:after="0"/>
              <w:ind w:hanging="0" w:start="0"/>
              <w:rPr>
                <w:u w:val="none"/>
              </w:rPr>
            </w:pPr>
            <w:r>
              <w:rPr>
                <w:u w:val="none"/>
              </w:rPr>
              <w:t>Counterparty</w:t>
            </w:r>
          </w:p>
        </w:tc>
      </w:tr>
      <w:tr>
        <w:trPr/>
        <w:tc>
          <w:tcPr>
            <w:tcW w:w="2898" w:type="dxa"/>
            <w:tcBorders/>
          </w:tcPr>
          <w:p>
            <w:pPr>
              <w:pStyle w:val="Normal"/>
              <w:spacing w:before="120" w:after="0"/>
              <w:rPr>
                <w:b/>
                <w:smallCaps/>
                <w:sz w:val="22"/>
              </w:rPr>
            </w:pPr>
            <w:r>
              <w:rPr>
                <w:b/>
                <w:smallCaps/>
                <w:sz w:val="22"/>
              </w:rPr>
              <w:t>Commodity:</w:t>
            </w:r>
          </w:p>
        </w:tc>
        <w:tc>
          <w:tcPr>
            <w:tcW w:w="5850" w:type="dxa"/>
            <w:tcBorders/>
          </w:tcPr>
          <w:p>
            <w:pPr>
              <w:pStyle w:val="Normal"/>
              <w:tabs>
                <w:tab w:val="clear" w:pos="720"/>
                <w:tab w:val="left" w:pos="5292" w:leader="none"/>
              </w:tabs>
              <w:spacing w:before="120" w:after="0"/>
              <w:jc w:val="both"/>
              <w:rPr>
                <w:sz w:val="22"/>
              </w:rPr>
            </w:pPr>
            <w:r>
              <w:rPr>
                <w:sz w:val="22"/>
              </w:rPr>
              <w:t>Energy (MWh)</w:t>
            </w:r>
          </w:p>
        </w:tc>
      </w:tr>
      <w:tr>
        <w:trPr/>
        <w:tc>
          <w:tcPr>
            <w:tcW w:w="2898" w:type="dxa"/>
            <w:tcBorders/>
          </w:tcPr>
          <w:p>
            <w:pPr>
              <w:pStyle w:val="Normal"/>
              <w:spacing w:before="120" w:after="0"/>
              <w:rPr>
                <w:b/>
                <w:smallCaps/>
                <w:sz w:val="22"/>
              </w:rPr>
            </w:pPr>
            <w:r>
              <w:rPr>
                <w:b/>
                <w:smallCaps/>
                <w:sz w:val="22"/>
              </w:rPr>
              <w:t>Nature Of Transaction:</w:t>
            </w:r>
          </w:p>
        </w:tc>
        <w:tc>
          <w:tcPr>
            <w:tcW w:w="5850" w:type="dxa"/>
            <w:tcBorders/>
          </w:tcPr>
          <w:p>
            <w:pPr>
              <w:pStyle w:val="Heading6"/>
              <w:spacing w:before="120" w:after="0"/>
              <w:ind w:hanging="0" w:start="0"/>
              <w:rPr>
                <w:sz w:val="22"/>
              </w:rPr>
            </w:pPr>
            <w:r>
              <w:rPr>
                <w:sz w:val="22"/>
              </w:rPr>
              <w:t>Firm</w:t>
            </w:r>
          </w:p>
        </w:tc>
      </w:tr>
      <w:tr>
        <w:trPr/>
        <w:tc>
          <w:tcPr>
            <w:tcW w:w="2898" w:type="dxa"/>
            <w:tcBorders/>
          </w:tcPr>
          <w:p>
            <w:pPr>
              <w:pStyle w:val="Normal"/>
              <w:spacing w:before="120" w:after="0"/>
              <w:rPr>
                <w:b/>
                <w:smallCaps/>
                <w:sz w:val="22"/>
              </w:rPr>
            </w:pPr>
            <w:r>
              <w:rPr>
                <w:b/>
                <w:smallCaps/>
                <w:sz w:val="22"/>
              </w:rPr>
              <w:t>Hourly Contract Quantity:</w:t>
            </w:r>
          </w:p>
        </w:tc>
        <w:tc>
          <w:tcPr>
            <w:tcW w:w="5850" w:type="dxa"/>
            <w:tcBorders/>
          </w:tcPr>
          <w:p>
            <w:pPr>
              <w:pStyle w:val="Normal"/>
              <w:tabs>
                <w:tab w:val="clear" w:pos="720"/>
                <w:tab w:val="left" w:pos="5292" w:leader="none"/>
              </w:tabs>
              <w:spacing w:before="120" w:after="0"/>
              <w:jc w:val="both"/>
              <w:rPr>
                <w:sz w:val="22"/>
              </w:rPr>
            </w:pPr>
            <w:r>
              <w:rPr>
                <w:sz w:val="22"/>
              </w:rPr>
              <w:t>On each Business Day that Buyer properly exercises its Daily Call Option, Buyer shall notify Seller of the Hourly Contract Quantity, if any, that Buyer elects to purchase with respect to each Delivery Point for such Delivery Term.  Buyer shall have the right, but not the obligation, to purchase the Hourly Contract Quantity with respect to any or all of the Delivery Points.  The "Hourly Contract Quantity" for each Delivery Point selected by Buyer shall be a multiple of 50 between zero and the Maximum Hourly Contract Quantity set forth on Exhibit “A” attached hereto.  For purposes of determining the applicable Maximum Hourly Contract Quantity, the Month in which the Delivery Term is included shall determine the applicable Month.</w:t>
            </w:r>
          </w:p>
        </w:tc>
      </w:tr>
      <w:tr>
        <w:trPr/>
        <w:tc>
          <w:tcPr>
            <w:tcW w:w="2898" w:type="dxa"/>
            <w:tcBorders/>
          </w:tcPr>
          <w:p>
            <w:pPr>
              <w:pStyle w:val="Normal"/>
              <w:spacing w:before="120" w:after="0"/>
              <w:rPr>
                <w:b/>
                <w:smallCaps/>
                <w:sz w:val="22"/>
              </w:rPr>
            </w:pPr>
            <w:r>
              <w:rPr>
                <w:b/>
                <w:smallCaps/>
                <w:sz w:val="22"/>
              </w:rPr>
              <w:t>Delivery Points:</w:t>
            </w:r>
          </w:p>
        </w:tc>
        <w:tc>
          <w:tcPr>
            <w:tcW w:w="5850" w:type="dxa"/>
            <w:tcBorders/>
          </w:tcPr>
          <w:p>
            <w:pPr>
              <w:pStyle w:val="Normal"/>
              <w:tabs>
                <w:tab w:val="clear" w:pos="720"/>
                <w:tab w:val="left" w:pos="5292" w:leader="none"/>
              </w:tabs>
              <w:spacing w:before="120" w:after="0"/>
              <w:jc w:val="both"/>
              <w:rPr>
                <w:sz w:val="22"/>
              </w:rPr>
            </w:pPr>
            <w:r>
              <w:rPr>
                <w:sz w:val="22"/>
              </w:rPr>
              <w:t>All or any of the Delivery Points identified on Exhibit "B" attached hereto.</w:t>
            </w:r>
          </w:p>
        </w:tc>
      </w:tr>
      <w:tr>
        <w:trPr/>
        <w:tc>
          <w:tcPr>
            <w:tcW w:w="2898" w:type="dxa"/>
            <w:tcBorders/>
          </w:tcPr>
          <w:p>
            <w:pPr>
              <w:pStyle w:val="Normal"/>
              <w:spacing w:before="120" w:after="0"/>
              <w:rPr>
                <w:b/>
                <w:smallCaps/>
                <w:sz w:val="22"/>
              </w:rPr>
            </w:pPr>
            <w:r>
              <w:rPr>
                <w:b/>
                <w:smallCaps/>
                <w:sz w:val="22"/>
              </w:rPr>
              <w:t>Contract Price:</w:t>
            </w:r>
          </w:p>
        </w:tc>
        <w:tc>
          <w:tcPr>
            <w:tcW w:w="5850" w:type="dxa"/>
            <w:tcBorders/>
          </w:tcPr>
          <w:p>
            <w:pPr>
              <w:pStyle w:val="Normal"/>
              <w:tabs>
                <w:tab w:val="clear" w:pos="720"/>
                <w:tab w:val="left" w:pos="5292" w:leader="none"/>
              </w:tabs>
              <w:snapToGrid w:val="false"/>
              <w:spacing w:before="120" w:after="0"/>
              <w:jc w:val="both"/>
              <w:rPr>
                <w:b/>
                <w:smallCaps/>
                <w:sz w:val="22"/>
              </w:rPr>
            </w:pPr>
            <w:r>
              <w:rPr>
                <w:b/>
                <w:smallCaps/>
                <w:sz w:val="22"/>
              </w:rPr>
            </w:r>
          </w:p>
        </w:tc>
      </w:tr>
      <w:tr>
        <w:trPr/>
        <w:tc>
          <w:tcPr>
            <w:tcW w:w="2898" w:type="dxa"/>
            <w:tcBorders/>
          </w:tcPr>
          <w:p>
            <w:pPr>
              <w:pStyle w:val="Normal"/>
              <w:spacing w:before="120" w:after="0"/>
              <w:ind w:start="540" w:end="0"/>
              <w:rPr>
                <w:smallCaps/>
                <w:sz w:val="22"/>
              </w:rPr>
            </w:pPr>
            <w:r>
              <w:rPr>
                <w:smallCaps/>
                <w:sz w:val="22"/>
              </w:rPr>
              <w:t>Energy Price:</w:t>
            </w:r>
          </w:p>
        </w:tc>
        <w:tc>
          <w:tcPr>
            <w:tcW w:w="5850" w:type="dxa"/>
            <w:tcBorders/>
          </w:tcPr>
          <w:p>
            <w:pPr>
              <w:pStyle w:val="Normal"/>
              <w:tabs>
                <w:tab w:val="clear" w:pos="720"/>
                <w:tab w:val="left" w:pos="5292" w:leader="none"/>
              </w:tabs>
              <w:spacing w:before="120" w:after="0"/>
              <w:jc w:val="both"/>
              <w:rPr>
                <w:sz w:val="22"/>
              </w:rPr>
            </w:pPr>
            <w:r>
              <w:rPr>
                <w:sz w:val="22"/>
              </w:rPr>
              <w:t>Buyer shall pay to Seller each Month during the Delivery Term an Energy Price equal to the sum of the Daily Energy Charges for each of the Delivery Points for each Day of the applicable Month which shall be calculated as set forth on Exhibit "C" attached hereto.</w:t>
            </w:r>
          </w:p>
        </w:tc>
      </w:tr>
      <w:tr>
        <w:trPr/>
        <w:tc>
          <w:tcPr>
            <w:tcW w:w="2898" w:type="dxa"/>
            <w:tcBorders/>
          </w:tcPr>
          <w:p>
            <w:pPr>
              <w:pStyle w:val="Normal"/>
              <w:keepNext w:val="true"/>
              <w:spacing w:before="120" w:after="0"/>
              <w:ind w:start="540" w:end="0"/>
              <w:rPr>
                <w:smallCaps/>
                <w:sz w:val="22"/>
              </w:rPr>
            </w:pPr>
            <w:r>
              <w:rPr>
                <w:smallCaps/>
                <w:sz w:val="22"/>
              </w:rPr>
              <w:t>Option Premium:</w:t>
            </w:r>
          </w:p>
        </w:tc>
        <w:tc>
          <w:tcPr>
            <w:tcW w:w="5850" w:type="dxa"/>
            <w:tcBorders/>
          </w:tcPr>
          <w:p>
            <w:pPr>
              <w:pStyle w:val="Normal"/>
              <w:keepNext w:val="true"/>
              <w:tabs>
                <w:tab w:val="clear" w:pos="720"/>
                <w:tab w:val="left" w:pos="5292" w:leader="none"/>
              </w:tabs>
              <w:spacing w:before="120" w:after="0"/>
              <w:jc w:val="both"/>
              <w:rPr>
                <w:sz w:val="22"/>
              </w:rPr>
            </w:pPr>
            <w:r>
              <w:rPr>
                <w:sz w:val="22"/>
              </w:rPr>
              <w:t>A monthly Option Premium shall be payable to Seller by Buyer each Month during the Delivery Term as set forth on Exhibit "D" attached hereto.</w:t>
            </w:r>
          </w:p>
        </w:tc>
      </w:tr>
      <w:tr>
        <w:trPr/>
        <w:tc>
          <w:tcPr>
            <w:tcW w:w="2898" w:type="dxa"/>
            <w:tcBorders/>
          </w:tcPr>
          <w:p>
            <w:pPr>
              <w:pStyle w:val="Normal"/>
              <w:spacing w:before="120" w:after="0"/>
              <w:rPr>
                <w:b/>
                <w:smallCaps/>
                <w:sz w:val="22"/>
              </w:rPr>
            </w:pPr>
            <w:r>
              <w:rPr>
                <w:b/>
                <w:smallCaps/>
                <w:sz w:val="22"/>
              </w:rPr>
              <w:t>Delivery Term:</w:t>
            </w:r>
          </w:p>
        </w:tc>
        <w:tc>
          <w:tcPr>
            <w:tcW w:w="5850" w:type="dxa"/>
            <w:tcBorders/>
          </w:tcPr>
          <w:p>
            <w:pPr>
              <w:pStyle w:val="Normal"/>
              <w:tabs>
                <w:tab w:val="clear" w:pos="720"/>
                <w:tab w:val="left" w:pos="5292" w:leader="none"/>
              </w:tabs>
              <w:spacing w:before="120" w:after="0"/>
              <w:jc w:val="both"/>
              <w:rPr>
                <w:sz w:val="22"/>
              </w:rPr>
            </w:pPr>
            <w:r>
              <w:rPr>
                <w:sz w:val="22"/>
              </w:rPr>
              <w:t>The On-Peak Hours in each Business Day during the period from September 1, 2000 through August 31, 2004.</w:t>
            </w:r>
          </w:p>
        </w:tc>
      </w:tr>
      <w:tr>
        <w:trPr/>
        <w:tc>
          <w:tcPr>
            <w:tcW w:w="2898" w:type="dxa"/>
            <w:tcBorders/>
          </w:tcPr>
          <w:p>
            <w:pPr>
              <w:pStyle w:val="Normal"/>
              <w:spacing w:before="120" w:after="0"/>
              <w:rPr>
                <w:b/>
                <w:smallCaps/>
                <w:sz w:val="22"/>
              </w:rPr>
            </w:pPr>
            <w:r>
              <w:rPr>
                <w:b/>
                <w:smallCaps/>
                <w:sz w:val="22"/>
              </w:rPr>
              <w:t>Daily Option Exercise:</w:t>
            </w:r>
          </w:p>
        </w:tc>
        <w:tc>
          <w:tcPr>
            <w:tcW w:w="5850" w:type="dxa"/>
            <w:tcBorders/>
          </w:tcPr>
          <w:p>
            <w:pPr>
              <w:pStyle w:val="Heading2"/>
              <w:spacing w:before="120" w:after="0"/>
              <w:ind w:hanging="0" w:start="0"/>
              <w:jc w:val="both"/>
              <w:rPr>
                <w:rFonts w:ascii="Times New Roman" w:hAnsi="Times New Roman" w:cs="Times New Roman"/>
                <w:i w:val="false"/>
                <w:i w:val="false"/>
                <w:sz w:val="22"/>
              </w:rPr>
            </w:pPr>
            <w:r>
              <w:rPr>
                <w:rFonts w:cs="Times New Roman" w:ascii="Times New Roman" w:hAnsi="Times New Roman"/>
                <w:b w:val="false"/>
                <w:i w:val="false"/>
                <w:sz w:val="22"/>
              </w:rPr>
              <w:t>For each of the Delivery Terms set forth above, Counterparty has the daily right, but not the obligation ("Daily Call Option"), to purchase up to the Maximum Hourly Contract Quantity during each of the On-Peak Hours of such Delivery Term at all or any of such Delivery Points.  In order to exercise its Daily Call Option, Counterparty must provide telephone notice to EPMI on or before 8:00 a.m. Central Prevailing Time ("CPT") on the Business Day prior to the Delivery Term.  If Counterparty has properly exercised its Daily Call Option, EPMI shall be obligated to Schedule and deliver and Counterparty shall be obligated to Schedule and receive the Hourly Contract Quantity for each Delivery Point selected by Counterparty during each On-Peak Hour of the Delivery Term.  The Hourly Contract Quantity shall be the same quantity for each hour of the 16-hour period during the On-Peak Hours (by way of example only, if Buyer wants to Schedule 250 MW’s in a given hour at a particular Delivery Point, Buyer must Schedule and receive 250 MW’s for all sixteen On-Peak Hours at that Delivery Point).</w:t>
            </w:r>
          </w:p>
        </w:tc>
      </w:tr>
      <w:tr>
        <w:trPr/>
        <w:tc>
          <w:tcPr>
            <w:tcW w:w="2898" w:type="dxa"/>
            <w:tcBorders/>
          </w:tcPr>
          <w:p>
            <w:pPr>
              <w:pStyle w:val="Normal"/>
              <w:spacing w:before="120" w:after="0"/>
              <w:rPr>
                <w:b/>
                <w:smallCaps/>
                <w:sz w:val="22"/>
              </w:rPr>
            </w:pPr>
            <w:r>
              <w:rPr>
                <w:b/>
                <w:smallCaps/>
                <w:sz w:val="22"/>
              </w:rPr>
              <w:t>Scheduling:</w:t>
            </w:r>
          </w:p>
        </w:tc>
        <w:tc>
          <w:tcPr>
            <w:tcW w:w="5850" w:type="dxa"/>
            <w:tcBorders/>
          </w:tcPr>
          <w:p>
            <w:pPr>
              <w:pStyle w:val="Normal"/>
              <w:tabs>
                <w:tab w:val="clear" w:pos="720"/>
                <w:tab w:val="left" w:pos="5292" w:leader="none"/>
              </w:tabs>
              <w:spacing w:before="120" w:after="0"/>
              <w:jc w:val="both"/>
              <w:rPr>
                <w:sz w:val="22"/>
              </w:rPr>
            </w:pPr>
            <w:r>
              <w:rPr>
                <w:sz w:val="22"/>
              </w:rPr>
              <w:t>Daily pre-schedule by 11:00 a.m. CPT Business Day ahead by calling (800) 349-5527 (or such other number as may be designated in writing by Seller).  By such time, Seller shall provide to Buyer a confirmation indicating the quantity of Energy that it will provide to the Delivery Points and Buyer and Seller shall have finalized all other logistics regarding the timing, quantity and location for delivery of Energy.</w:t>
            </w:r>
          </w:p>
        </w:tc>
      </w:tr>
      <w:tr>
        <w:trPr/>
        <w:tc>
          <w:tcPr>
            <w:tcW w:w="2898" w:type="dxa"/>
            <w:tcBorders/>
          </w:tcPr>
          <w:p>
            <w:pPr>
              <w:pStyle w:val="Normal"/>
              <w:spacing w:before="120" w:after="0"/>
              <w:rPr>
                <w:b/>
                <w:smallCaps/>
                <w:sz w:val="22"/>
              </w:rPr>
            </w:pPr>
            <w:r>
              <w:rPr>
                <w:b/>
                <w:smallCaps/>
                <w:sz w:val="22"/>
              </w:rPr>
              <w:t>Damages for Non-Performance:</w:t>
            </w:r>
          </w:p>
        </w:tc>
        <w:tc>
          <w:tcPr>
            <w:tcW w:w="5850" w:type="dxa"/>
            <w:tcBorders/>
          </w:tcPr>
          <w:p>
            <w:pPr>
              <w:pStyle w:val="BodyText"/>
              <w:spacing w:before="120" w:after="0"/>
              <w:jc w:val="both"/>
              <w:rPr>
                <w:sz w:val="22"/>
              </w:rPr>
            </w:pPr>
            <w:r>
              <w:rPr>
                <w:sz w:val="22"/>
              </w:rPr>
              <w:t>Notwithstanding any provision of the Master Agreement, including without limitation Section 3.5 thereof,  the provisions contained on Exhibit "E" shall be the sole and exclusive remedy of the parties in the event of either Seller's failure to sell, schedule or deliver the Energy or Buyer's failure to purchase, schedule or receive the Energy under this Confirmation.</w:t>
            </w:r>
          </w:p>
        </w:tc>
      </w:tr>
      <w:tr>
        <w:trPr/>
        <w:tc>
          <w:tcPr>
            <w:tcW w:w="2898" w:type="dxa"/>
            <w:tcBorders/>
          </w:tcPr>
          <w:p>
            <w:pPr>
              <w:pStyle w:val="Normal"/>
              <w:keepNext w:val="true"/>
              <w:spacing w:before="120" w:after="0"/>
              <w:rPr>
                <w:b/>
                <w:smallCaps/>
                <w:sz w:val="22"/>
              </w:rPr>
            </w:pPr>
            <w:r>
              <w:rPr>
                <w:b/>
                <w:smallCaps/>
                <w:sz w:val="22"/>
              </w:rPr>
              <w:t>Additional Event of Default:</w:t>
            </w:r>
          </w:p>
        </w:tc>
        <w:tc>
          <w:tcPr>
            <w:tcW w:w="5850" w:type="dxa"/>
            <w:tcBorders/>
          </w:tcPr>
          <w:p>
            <w:pPr>
              <w:pStyle w:val="Normal"/>
              <w:keepNext w:val="true"/>
              <w:spacing w:lineRule="exact" w:line="240" w:before="120" w:after="0"/>
              <w:jc w:val="both"/>
              <w:rPr>
                <w:sz w:val="22"/>
              </w:rPr>
            </w:pPr>
            <w:r>
              <w:rPr>
                <w:sz w:val="22"/>
              </w:rPr>
              <w:t>The following will constitute an additional Event of Default for purposes of Section 4.1 of the Master Agreement:</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612" w:end="0"/>
              <w:jc w:val="both"/>
              <w:rPr>
                <w:sz w:val="22"/>
              </w:rPr>
            </w:pPr>
            <w:r>
              <w:rPr>
                <w:sz w:val="22"/>
              </w:rPr>
              <w:t>The occurrence or existence of a default, event of default or other similar condition or event (however described) in respect of such Defaulting Party or in the case of EPMI, Enron, or in the case of Counterparty, ML&amp;Co., under one or more other agreements or instruments by and between: (i) Buyer and Seller, (ii) Buyer and Enron, (iii) Seller and ML&amp;Co. or (iv) ML&amp;Co. and Enron.</w:t>
            </w:r>
          </w:p>
        </w:tc>
      </w:tr>
      <w:tr>
        <w:trPr/>
        <w:tc>
          <w:tcPr>
            <w:tcW w:w="2898" w:type="dxa"/>
            <w:tcBorders/>
          </w:tcPr>
          <w:p>
            <w:pPr>
              <w:pStyle w:val="Normal"/>
              <w:spacing w:before="120" w:after="0"/>
              <w:rPr>
                <w:b/>
                <w:smallCaps/>
                <w:sz w:val="22"/>
              </w:rPr>
            </w:pPr>
            <w:r>
              <w:rPr>
                <w:b/>
                <w:smallCaps/>
                <w:sz w:val="22"/>
              </w:rPr>
              <w:t>Arbitration:</w:t>
            </w:r>
          </w:p>
        </w:tc>
        <w:tc>
          <w:tcPr>
            <w:tcW w:w="5850" w:type="dxa"/>
            <w:tcBorders/>
          </w:tcPr>
          <w:p>
            <w:pPr>
              <w:pStyle w:val="BodyText"/>
              <w:spacing w:before="120" w:after="0"/>
              <w:jc w:val="both"/>
              <w:rPr>
                <w:sz w:val="22"/>
              </w:rPr>
            </w:pPr>
            <w:r>
              <w:rPr>
                <w:sz w:val="22"/>
              </w:rPr>
              <w:t xml:space="preserve">Any arbitration proceedings that may arise under this or any other agreement between the Parties from a single occurrence shall be arbitrated together by the same arbitrator(s).  By way of example only, if a Party defaults under another agreement to which both Parties are a party and the non-defaulting party elects to terminate the Master Agreement pursuant to the Additional Event of Default, the Parties shall be required to arbitrate any and all disputes arising under both agreements before the same arbitrator(s). </w:t>
            </w:r>
          </w:p>
        </w:tc>
      </w:tr>
      <w:tr>
        <w:trPr/>
        <w:tc>
          <w:tcPr>
            <w:tcW w:w="2898" w:type="dxa"/>
            <w:tcBorders/>
          </w:tcPr>
          <w:p>
            <w:pPr>
              <w:pStyle w:val="Normal"/>
              <w:spacing w:before="120" w:after="0"/>
              <w:rPr>
                <w:b/>
                <w:smallCaps/>
                <w:sz w:val="22"/>
              </w:rPr>
            </w:pPr>
            <w:r>
              <w:rPr>
                <w:b/>
                <w:smallCaps/>
                <w:sz w:val="22"/>
              </w:rPr>
              <w:t>Set-Off:</w:t>
            </w:r>
          </w:p>
        </w:tc>
        <w:tc>
          <w:tcPr>
            <w:tcW w:w="5850" w:type="dxa"/>
            <w:tcBorders/>
          </w:tcPr>
          <w:p>
            <w:pPr>
              <w:pStyle w:val="BodyText"/>
              <w:spacing w:before="120" w:after="0"/>
              <w:jc w:val="both"/>
              <w:rPr>
                <w:sz w:val="22"/>
              </w:rPr>
            </w:pPr>
            <w:r>
              <w:rPr>
                <w:sz w:val="22"/>
              </w:rPr>
              <w:t>Notwithstanding any other provision in the Master Agreement, the following shall apply:</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hanging="522" w:start="522" w:end="0"/>
              <w:jc w:val="both"/>
              <w:rPr>
                <w:sz w:val="22"/>
              </w:rPr>
            </w:pPr>
            <w:r>
              <w:rPr>
                <w:sz w:val="22"/>
              </w:rPr>
              <w:t>(A)</w:t>
              <w:tab/>
              <w:t>Upon the designation of an Early Termination Date the Non-defaulting Party ("X") may, at its option and in its discretion, setoff, against any amounts owed to the Defaulting Party ("Y") in Dollars or any other currency by X or any Affiliate of X under this Confirmation, the Master Agreement or otherwise, any amounts owed in Dollars or any other currency by Y to X or any of its Affiliates (irrespective of place of payment or booking office of the obligation) under this Confirmation, the Master Agreement or otherwise.  The obligations of Y and X under this Confirmation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hanging="522" w:start="522" w:end="0"/>
              <w:jc w:val="both"/>
              <w:rPr>
                <w:sz w:val="22"/>
              </w:rPr>
            </w:pPr>
            <w:r>
              <w:rPr>
                <w:sz w:val="22"/>
              </w:rPr>
              <w:t>(B)</w:t>
              <w:tab/>
              <w:t>Notwithstanding any provision to the contrary contained in this Confirmation, the Non-Defaulting Party shall not be required to pay to the Defaulting Party any amount under Section 4.2 of the Master Agreement until the Non-Defaulting Party receives confirmation satisfactory to it in its sole discretion that (1) each Transaction under the Master Agreement has matured or been terminated and all amounts due and payable by Defaulting Party under each Transaction under the Master Agreement as of the Early Termination Date have been fully and finally paid, and (2) all other obligations of any kind whatsoever of the Defaulting Party to make any payments to the Non-Defaulting Party or any of its Affiliates under this Confirmation, the Master Agreement or otherwise which are due and payable as of the Early Termination Date hereof have been fully and finally performed.</w:t>
            </w:r>
          </w:p>
        </w:tc>
      </w:tr>
      <w:tr>
        <w:trPr/>
        <w:tc>
          <w:tcPr>
            <w:tcW w:w="2898" w:type="dxa"/>
            <w:tcBorders/>
          </w:tcPr>
          <w:p>
            <w:pPr>
              <w:pStyle w:val="Normal"/>
              <w:spacing w:before="120" w:after="0"/>
              <w:rPr>
                <w:b/>
                <w:smallCaps/>
                <w:sz w:val="22"/>
              </w:rPr>
            </w:pPr>
            <w:r>
              <w:rPr>
                <w:b/>
                <w:smallCaps/>
                <w:sz w:val="22"/>
              </w:rPr>
              <w:t>Market Disruption Events:</w:t>
            </w:r>
          </w:p>
        </w:tc>
        <w:tc>
          <w:tcPr>
            <w:tcW w:w="5850" w:type="dxa"/>
            <w:tcBorders/>
          </w:tcPr>
          <w:p>
            <w:pPr>
              <w:pStyle w:val="BodyTextIndent"/>
              <w:snapToGrid w:val="false"/>
              <w:spacing w:before="0" w:after="0"/>
              <w:rPr>
                <w:b/>
                <w:smallCaps/>
                <w:sz w:val="22"/>
                <w:lang w:eastAsia="en-CA"/>
              </w:rPr>
            </w:pPr>
            <w:r>
              <w:rPr>
                <w:b/>
                <w:smallCaps/>
                <w:sz w:val="22"/>
                <w:lang w:eastAsia="en-CA"/>
              </w:rPr>
            </w:r>
          </w:p>
          <w:p>
            <w:pPr>
              <w:pStyle w:val="BodyTextIndent"/>
              <w:spacing w:before="0" w:after="0"/>
              <w:rPr>
                <w:lang w:eastAsia="en-CA"/>
              </w:rPr>
            </w:pPr>
            <w:r>
              <w:rPr>
                <w:lang w:eastAsia="en-CA"/>
              </w:rPr>
              <w:t>(a)</w:t>
              <w:tab/>
              <w:t>This Confirmation shall be considered a "Transaction" under the 1993 ISDA Commodity Derivatives Definitions, as amended, supplemented, replaced or modified from time to time (“Commodity Definitions”).  The Commodity Definitions are hereby incorporated by reference with respect to this Confirmation.  All terms used in this Section that are not otherwise defined shall have the meanings given to them in the Commodity Definitions.</w:t>
            </w:r>
          </w:p>
          <w:p>
            <w:pPr>
              <w:pStyle w:val="Normal"/>
              <w:ind w:firstLine="720" w:end="0"/>
              <w:jc w:val="both"/>
              <w:rPr>
                <w:sz w:val="22"/>
                <w:lang w:eastAsia="en-CA"/>
              </w:rPr>
            </w:pPr>
            <w:r>
              <w:rPr>
                <w:sz w:val="22"/>
                <w:lang w:eastAsia="en-CA"/>
              </w:rPr>
            </w:r>
          </w:p>
          <w:p>
            <w:pPr>
              <w:pStyle w:val="Normal"/>
              <w:ind w:firstLine="720" w:end="0"/>
              <w:jc w:val="both"/>
              <w:rPr>
                <w:sz w:val="22"/>
              </w:rPr>
            </w:pPr>
            <w:r>
              <w:rPr>
                <w:sz w:val="22"/>
              </w:rPr>
              <w:t>(b)</w:t>
              <w:tab/>
              <w:t>In lieu of Section 7.4(d) of the Commodity Definitions, the “Market Disruption Events” specified in Section 7.4(c)(i) - (v)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(d)</w:t>
              <w:tab/>
              <w:t>“Additional Market Disruption Events” shall apply only if so specified in the relevant Confirmation.</w:t>
            </w:r>
          </w:p>
          <w:p>
            <w:pPr>
              <w:pStyle w:val="Normal"/>
              <w:ind w:firstLine="720" w:end="0"/>
              <w:jc w:val="both"/>
              <w:rPr>
                <w:sz w:val="22"/>
              </w:rPr>
            </w:pPr>
            <w:r>
              <w:rPr>
                <w:sz w:val="22"/>
              </w:rPr>
            </w:r>
          </w:p>
          <w:p>
            <w:pPr>
              <w:pStyle w:val="BodyTextIndent2"/>
              <w:ind w:firstLine="720" w:start="0" w:end="0"/>
              <w:jc w:val="both"/>
              <w:rPr>
                <w:sz w:val="22"/>
              </w:rPr>
            </w:pPr>
            <w:r>
              <w:rPr>
                <w:sz w:val="22"/>
              </w:rPr>
              <w:t>(f)</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“Postponement”,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“Fallback Reference Price” (if the relevant parties have specified an alternate Commodity Reference Price in the Confirmation);</w:t>
            </w:r>
          </w:p>
          <w:p>
            <w:pPr>
              <w:pStyle w:val="Normal"/>
              <w:ind w:hanging="720" w:start="2160" w:end="720"/>
              <w:jc w:val="both"/>
              <w:rPr>
                <w:sz w:val="22"/>
              </w:rPr>
            </w:pPr>
            <w:r>
              <w:rPr>
                <w:sz w:val="22"/>
              </w:rPr>
            </w:r>
          </w:p>
          <w:p>
            <w:pPr>
              <w:pStyle w:val="Normal"/>
              <w:ind w:hanging="720" w:start="2160" w:end="720"/>
              <w:jc w:val="both"/>
              <w:rPr>
                <w:sz w:val="22"/>
              </w:rPr>
            </w:pPr>
            <w:r>
              <w:rPr>
                <w:sz w:val="22"/>
              </w:rPr>
              <w:t>(iii)</w:t>
              <w:tab/>
              <w:t>“Negotiated Fallback” (provided that the reference in Section 7.5(c)(ii) to “fifth Business Day” shall be amended to be “twelfth Business Day”); and</w:t>
            </w:r>
          </w:p>
          <w:p>
            <w:pPr>
              <w:pStyle w:val="Normal"/>
              <w:ind w:hanging="720" w:start="2160" w:end="720"/>
              <w:jc w:val="both"/>
              <w:rPr>
                <w:sz w:val="22"/>
              </w:rPr>
            </w:pPr>
            <w:r>
              <w:rPr>
                <w:sz w:val="22"/>
              </w:rPr>
            </w:r>
          </w:p>
          <w:p>
            <w:pPr>
              <w:pStyle w:val="Normal"/>
              <w:ind w:hanging="720" w:start="2160" w:end="720"/>
              <w:jc w:val="both"/>
              <w:rPr>
                <w:sz w:val="22"/>
              </w:rPr>
            </w:pPr>
            <w:r>
              <w:rPr>
                <w:sz w:val="22"/>
              </w:rPr>
              <w:t>(iv)</w:t>
              <w:tab/>
              <w:t>The Relevant Price will be determined and calculated as set forth in the definition “Commodity</w:t>
              <w:noBreakHyphen/>
              <w:t>Reference Dealers”, with each party selecting in good faith two Reference Dealers in the relevant market and the Relevant Price being the average of such prices (excluding the highest and lowest prices) provided by such Reference Dealers.</w:t>
            </w:r>
          </w:p>
          <w:p>
            <w:pPr>
              <w:pStyle w:val="Header"/>
              <w:jc w:val="both"/>
              <w:rPr>
                <w:sz w:val="22"/>
              </w:rPr>
            </w:pPr>
            <w:r>
              <w:rPr>
                <w:sz w:val="22"/>
              </w:rPr>
            </w:r>
          </w:p>
          <w:p>
            <w:pPr>
              <w:pStyle w:val="BodyText"/>
              <w:spacing w:before="120" w:after="0"/>
              <w:ind w:firstLine="702" w:end="0"/>
              <w:jc w:val="both"/>
              <w:rPr>
                <w:sz w:val="22"/>
              </w:rPr>
            </w:pPr>
            <w:r>
              <w:rPr>
                <w:sz w:val="22"/>
              </w:rPr>
              <w:t>(g)</w:t>
              <w:tab/>
              <w:t>Buyer shall be the Calculation Agent for purposes of the Commodity Definitions.</w:t>
            </w:r>
          </w:p>
        </w:tc>
      </w:tr>
      <w:tr>
        <w:trPr/>
        <w:tc>
          <w:tcPr>
            <w:tcW w:w="2898" w:type="dxa"/>
            <w:tcBorders/>
          </w:tcPr>
          <w:p>
            <w:pPr>
              <w:pStyle w:val="Normal"/>
              <w:spacing w:before="120" w:after="0"/>
              <w:rPr>
                <w:b/>
                <w:smallCaps/>
                <w:sz w:val="22"/>
              </w:rPr>
            </w:pPr>
            <w:r>
              <w:rPr>
                <w:b/>
                <w:smallCaps/>
                <w:sz w:val="22"/>
              </w:rPr>
              <w:t>Additional Definitions:</w:t>
            </w:r>
          </w:p>
        </w:tc>
        <w:tc>
          <w:tcPr>
            <w:tcW w:w="5850" w:type="dxa"/>
            <w:tcBorders/>
          </w:tcPr>
          <w:p>
            <w:pPr>
              <w:pStyle w:val="BodyText"/>
              <w:spacing w:before="120" w:after="0"/>
              <w:jc w:val="both"/>
              <w:rPr>
                <w:sz w:val="22"/>
              </w:rPr>
            </w:pPr>
            <w:r>
              <w:rPr>
                <w:sz w:val="22"/>
              </w:rPr>
              <w:t>For purposes of this Confirmation, the following definitions shall apply:</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sz w:val="22"/>
              </w:rPr>
              <w:t>"</w:t>
            </w:r>
            <w:r>
              <w:rPr>
                <w:b/>
                <w:sz w:val="22"/>
              </w:rPr>
              <w:t>Business Day</w:t>
            </w:r>
            <w:r>
              <w:rPr>
                <w:sz w:val="22"/>
              </w:rPr>
              <w:t>" shall mean a day (other than a NERC holiday, Saturday or Sunday) on which Federal Reserve member banks in New York City are open for business; and a Business Day shall open at 8:00 a.m. and close at 5:00 p.m. local time for each Party’s principal place of business.</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sz w:val="22"/>
              </w:rPr>
              <w:t>"</w:t>
            </w:r>
            <w:r>
              <w:rPr>
                <w:b/>
                <w:sz w:val="22"/>
              </w:rPr>
              <w:t>Day”</w:t>
            </w:r>
            <w:r>
              <w:rPr>
                <w:sz w:val="22"/>
              </w:rPr>
              <w:t xml:space="preserve"> shall mean the period of twenty-four (24) hours from 12:00 midnight through 11:59 p.m. of each calendar day) of the applicable Month.</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b/>
                <w:sz w:val="22"/>
              </w:rPr>
              <w:t>“</w:t>
            </w:r>
            <w:r>
              <w:rPr>
                <w:b/>
                <w:sz w:val="22"/>
              </w:rPr>
              <w:t>Month”</w:t>
            </w:r>
            <w:r>
              <w:rPr>
                <w:sz w:val="22"/>
              </w:rPr>
              <w:t xml:space="preserve"> shall mean a calendar month.</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b/>
                <w:sz w:val="22"/>
              </w:rPr>
              <w:t>“</w:t>
            </w:r>
            <w:r>
              <w:rPr>
                <w:b/>
                <w:sz w:val="22"/>
              </w:rPr>
              <w:t>NERC”</w:t>
            </w:r>
            <w:r>
              <w:rPr>
                <w:sz w:val="22"/>
              </w:rPr>
              <w:t xml:space="preserve"> shall mean North American Electric Reliability Council and any successor entity.</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sz w:val="22"/>
              </w:rPr>
              <w:t>"</w:t>
            </w:r>
            <w:r>
              <w:rPr>
                <w:b/>
                <w:sz w:val="22"/>
              </w:rPr>
              <w:t>Non-Summer Season</w:t>
            </w:r>
            <w:r>
              <w:rPr>
                <w:sz w:val="22"/>
              </w:rPr>
              <w:t>" shall mean the period each Year from January 1 through March 31 (inclusive) and from November 1 through December 31 (inclusive), excluding NERC holidays, Saturdays and Sundays.</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sz w:val="22"/>
              </w:rPr>
              <w:t>"</w:t>
            </w:r>
            <w:r>
              <w:rPr>
                <w:b/>
                <w:sz w:val="22"/>
              </w:rPr>
              <w:t>On Peak Hours</w:t>
            </w:r>
            <w:r>
              <w:rPr>
                <w:sz w:val="22"/>
              </w:rPr>
              <w:t>" shall mean HE 0700 Central Prevailing Time to HE 2200 Central Prevailing Time.</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sz w:val="22"/>
              </w:rPr>
              <w:t>"</w:t>
            </w:r>
            <w:r>
              <w:rPr>
                <w:b/>
                <w:sz w:val="22"/>
              </w:rPr>
              <w:t>Summer Season</w:t>
            </w:r>
            <w:r>
              <w:rPr>
                <w:sz w:val="22"/>
              </w:rPr>
              <w:t>" shall mean the period each Year from April 1 through October 31 (inclusive), excluding NERC holidays, Saturdays and Sundays.</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b/>
                <w:sz w:val="22"/>
              </w:rPr>
              <w:t>"Year"</w:t>
            </w:r>
            <w:r>
              <w:rPr>
                <w:sz w:val="22"/>
              </w:rPr>
              <w:t xml:space="preserve"> shall mean each calendar year included in the Delivery Term.</w:t>
            </w:r>
          </w:p>
        </w:tc>
      </w:tr>
    </w:tbl>
    <w:p>
      <w:pPr>
        <w:pStyle w:val="Normal"/>
        <w:jc w:val="both"/>
        <w:rPr>
          <w:sz w:val="22"/>
        </w:rPr>
      </w:pPr>
      <w:r>
        <w:rPr>
          <w:sz w:val="22"/>
        </w:rPr>
      </w:r>
    </w:p>
    <w:p>
      <w:pPr>
        <w:pStyle w:val="Justified"/>
        <w:keepNext w:val="true"/>
        <w:jc w:val="both"/>
        <w:rPr>
          <w:sz w:val="22"/>
        </w:rPr>
      </w:pPr>
      <w:r>
        <w:rPr>
          <w:sz w:val="22"/>
        </w:rPr>
      </w:r>
    </w:p>
    <w:p>
      <w:pPr>
        <w:pStyle w:val="Justified"/>
        <w:keepNext w:val="true"/>
        <w:jc w:val="both"/>
        <w:rPr>
          <w:sz w:val="22"/>
        </w:rPr>
      </w:pPr>
      <w:r>
        <w:rPr>
          <w:sz w:val="22"/>
        </w:rPr>
        <w:tab/>
      </w:r>
    </w:p>
    <w:tbl>
      <w:tblPr>
        <w:tblW w:w="8838" w:type="dxa"/>
        <w:jc w:val="start"/>
        <w:tblInd w:w="0" w:type="dxa"/>
        <w:tblLayout w:type="fixed"/>
        <w:tblCellMar>
          <w:top w:w="0" w:type="dxa"/>
          <w:start w:w="108" w:type="dxa"/>
          <w:bottom w:w="0" w:type="dxa"/>
          <w:end w:w="108" w:type="dxa"/>
        </w:tblCellMar>
      </w:tblPr>
      <w:tblGrid>
        <w:gridCol w:w="4518"/>
        <w:gridCol w:w="4320"/>
      </w:tblGrid>
      <w:tr>
        <w:trPr/>
        <w:tc>
          <w:tcPr>
            <w:tcW w:w="4518" w:type="dxa"/>
            <w:tcBorders/>
          </w:tcPr>
          <w:p>
            <w:pPr>
              <w:pStyle w:val="Normal"/>
              <w:keepNext w:val="true"/>
              <w:keepLines/>
              <w:tabs>
                <w:tab w:val="clear" w:pos="720"/>
                <w:tab w:val="left" w:pos="4140" w:leader="none"/>
              </w:tabs>
              <w:spacing w:before="240" w:after="0"/>
              <w:jc w:val="both"/>
              <w:rPr>
                <w:sz w:val="22"/>
              </w:rPr>
            </w:pPr>
            <w:r>
              <w:rPr>
                <w:sz w:val="22"/>
              </w:rPr>
              <w:t>"COUNTERPARTY"</w:t>
            </w:r>
          </w:p>
        </w:tc>
        <w:tc>
          <w:tcPr>
            <w:tcW w:w="4320" w:type="dxa"/>
            <w:tcBorders/>
          </w:tcPr>
          <w:p>
            <w:pPr>
              <w:pStyle w:val="Normal"/>
              <w:keepNext w:val="true"/>
              <w:keepLines/>
              <w:tabs>
                <w:tab w:val="clear" w:pos="720"/>
                <w:tab w:val="left" w:pos="4680" w:leader="none"/>
              </w:tabs>
              <w:spacing w:before="240" w:after="0"/>
              <w:jc w:val="both"/>
              <w:rPr>
                <w:sz w:val="22"/>
              </w:rPr>
            </w:pPr>
            <w:r>
              <w:rPr>
                <w:sz w:val="22"/>
              </w:rPr>
              <w:t>"EPMI"</w:t>
            </w:r>
          </w:p>
        </w:tc>
      </w:tr>
      <w:tr>
        <w:trPr/>
        <w:tc>
          <w:tcPr>
            <w:tcW w:w="4518" w:type="dxa"/>
            <w:tcBorders/>
          </w:tcPr>
          <w:p>
            <w:pPr>
              <w:pStyle w:val="TOAHeading"/>
              <w:keepNext w:val="true"/>
              <w:keepLines/>
              <w:tabs>
                <w:tab w:val="clear" w:pos="720"/>
                <w:tab w:val="left" w:pos="4140" w:leader="none"/>
                <w:tab w:val="left" w:pos="4680" w:leader="none"/>
              </w:tabs>
              <w:spacing w:before="240" w:after="0"/>
              <w:jc w:val="both"/>
              <w:rPr>
                <w:sz w:val="22"/>
              </w:rPr>
            </w:pPr>
            <w:r>
              <w:rPr>
                <w:sz w:val="22"/>
              </w:rPr>
              <w:t>MERRILL LYNCH CAPITAL SERVICES, INC.</w:t>
            </w:r>
          </w:p>
        </w:tc>
        <w:tc>
          <w:tcPr>
            <w:tcW w:w="4320" w:type="dxa"/>
            <w:tcBorders/>
          </w:tcPr>
          <w:p>
            <w:pPr>
              <w:pStyle w:val="Normal"/>
              <w:keepNext w:val="true"/>
              <w:keepLines/>
              <w:tabs>
                <w:tab w:val="clear" w:pos="720"/>
                <w:tab w:val="left" w:pos="4680" w:leader="none"/>
              </w:tabs>
              <w:spacing w:before="240" w:after="0"/>
              <w:jc w:val="both"/>
              <w:rPr>
                <w:sz w:val="22"/>
              </w:rPr>
            </w:pPr>
            <w:r>
              <w:rPr>
                <w:b/>
                <w:sz w:val="22"/>
              </w:rPr>
              <w:t>ENRON POWER MARKETING, INC.</w:t>
            </w:r>
          </w:p>
        </w:tc>
      </w:tr>
      <w:tr>
        <w:trPr/>
        <w:tc>
          <w:tcPr>
            <w:tcW w:w="4518" w:type="dxa"/>
            <w:tcBorders/>
          </w:tcPr>
          <w:p>
            <w:pPr>
              <w:pStyle w:val="Normal"/>
              <w:keepNext w:val="true"/>
              <w:keepLines/>
              <w:tabs>
                <w:tab w:val="clear" w:pos="720"/>
                <w:tab w:val="left" w:pos="4140" w:leader="none"/>
                <w:tab w:val="left" w:pos="4680" w:leader="none"/>
              </w:tabs>
              <w:spacing w:before="600" w:after="0"/>
              <w:jc w:val="both"/>
              <w:rPr>
                <w:sz w:val="22"/>
              </w:rPr>
            </w:pPr>
            <w:r>
              <w:rPr>
                <w:sz w:val="22"/>
              </w:rPr>
              <w:t>By:</w:t>
            </w:r>
            <w:r>
              <w:rPr>
                <w:sz w:val="22"/>
                <w:u w:val="single"/>
              </w:rPr>
              <w:tab/>
            </w:r>
          </w:p>
        </w:tc>
        <w:tc>
          <w:tcPr>
            <w:tcW w:w="4320" w:type="dxa"/>
            <w:tcBorders/>
          </w:tcPr>
          <w:p>
            <w:pPr>
              <w:pStyle w:val="Normal"/>
              <w:keepNext w:val="true"/>
              <w:keepLines/>
              <w:tabs>
                <w:tab w:val="clear" w:pos="720"/>
                <w:tab w:val="left" w:pos="4680" w:leader="none"/>
              </w:tabs>
              <w:spacing w:before="600" w:after="0"/>
              <w:jc w:val="both"/>
              <w:rPr>
                <w:sz w:val="22"/>
              </w:rPr>
            </w:pPr>
            <w:r>
              <w:rPr>
                <w:sz w:val="22"/>
              </w:rPr>
              <w:t>By:</w:t>
            </w:r>
            <w:r>
              <w:rPr>
                <w:sz w:val="22"/>
                <w:u w:val="single"/>
              </w:rPr>
              <w:tab/>
            </w:r>
          </w:p>
        </w:tc>
      </w:tr>
      <w:tr>
        <w:trPr/>
        <w:tc>
          <w:tcPr>
            <w:tcW w:w="4518" w:type="dxa"/>
            <w:tcBorders/>
          </w:tcPr>
          <w:p>
            <w:pPr>
              <w:pStyle w:val="Normal"/>
              <w:keepNext w:val="true"/>
              <w:keepLines/>
              <w:tabs>
                <w:tab w:val="clear" w:pos="720"/>
                <w:tab w:val="left" w:pos="4140" w:leader="none"/>
                <w:tab w:val="left" w:pos="4680" w:leader="none"/>
              </w:tabs>
              <w:jc w:val="both"/>
              <w:rPr>
                <w:sz w:val="22"/>
              </w:rPr>
            </w:pPr>
            <w:r>
              <w:rPr>
                <w:sz w:val="22"/>
              </w:rPr>
              <w:t>Title:</w:t>
            </w:r>
            <w:r>
              <w:rPr>
                <w:sz w:val="22"/>
                <w:u w:val="single"/>
              </w:rPr>
              <w:tab/>
            </w:r>
          </w:p>
        </w:tc>
        <w:tc>
          <w:tcPr>
            <w:tcW w:w="4320" w:type="dxa"/>
            <w:tcBorders/>
          </w:tcPr>
          <w:p>
            <w:pPr>
              <w:pStyle w:val="Normal"/>
              <w:keepNext w:val="true"/>
              <w:keepLines/>
              <w:tabs>
                <w:tab w:val="clear" w:pos="720"/>
                <w:tab w:val="left" w:pos="4680" w:leader="none"/>
              </w:tabs>
              <w:jc w:val="both"/>
              <w:rPr>
                <w:sz w:val="22"/>
              </w:rPr>
            </w:pPr>
            <w:r>
              <w:rPr>
                <w:sz w:val="22"/>
              </w:rPr>
              <w:t>Title:</w:t>
            </w:r>
            <w:r>
              <w:rPr>
                <w:sz w:val="22"/>
                <w:u w:val="single"/>
              </w:rPr>
              <w:tab/>
            </w:r>
          </w:p>
        </w:tc>
      </w:tr>
      <w:tr>
        <w:trPr/>
        <w:tc>
          <w:tcPr>
            <w:tcW w:w="4518" w:type="dxa"/>
            <w:tcBorders/>
          </w:tcPr>
          <w:p>
            <w:pPr>
              <w:pStyle w:val="Normal"/>
              <w:tabs>
                <w:tab w:val="clear" w:pos="720"/>
                <w:tab w:val="left" w:pos="4140" w:leader="none"/>
                <w:tab w:val="left" w:pos="4680" w:leader="none"/>
              </w:tabs>
              <w:jc w:val="both"/>
              <w:rPr>
                <w:sz w:val="22"/>
              </w:rPr>
            </w:pPr>
            <w:r>
              <w:rPr>
                <w:sz w:val="22"/>
              </w:rPr>
              <w:t>Date:</w:t>
            </w:r>
            <w:r>
              <w:rPr>
                <w:sz w:val="22"/>
                <w:u w:val="single"/>
              </w:rPr>
              <w:tab/>
            </w:r>
          </w:p>
        </w:tc>
        <w:tc>
          <w:tcPr>
            <w:tcW w:w="4320" w:type="dxa"/>
            <w:tcBorders/>
          </w:tcPr>
          <w:p>
            <w:pPr>
              <w:pStyle w:val="Normal"/>
              <w:tabs>
                <w:tab w:val="clear" w:pos="720"/>
                <w:tab w:val="left" w:pos="4680" w:leader="none"/>
              </w:tabs>
              <w:jc w:val="both"/>
              <w:rPr>
                <w:sz w:val="22"/>
              </w:rPr>
            </w:pPr>
            <w:r>
              <w:rPr>
                <w:sz w:val="22"/>
              </w:rPr>
              <w:t>Date:</w:t>
            </w:r>
            <w:r>
              <w:rPr>
                <w:sz w:val="22"/>
                <w:u w:val="single"/>
              </w:rPr>
              <w:tab/>
            </w:r>
          </w:p>
        </w:tc>
      </w:tr>
    </w:tbl>
    <w:p>
      <w:pPr>
        <w:pStyle w:val="Normal"/>
        <w:jc w:val="both"/>
        <w:rPr>
          <w:b/>
          <w:sz w:val="22"/>
        </w:rPr>
      </w:pPr>
      <w:r>
        <w:rPr>
          <w:b/>
          <w:sz w:val="22"/>
        </w:rPr>
      </w:r>
    </w:p>
    <w:p>
      <w:pPr>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2"/>
        </w:rPr>
      </w:pPr>
      <w:r>
        <w:rPr>
          <w:b/>
          <w:sz w:val="22"/>
        </w:rPr>
      </w:r>
    </w:p>
    <w:p>
      <w:pPr>
        <w:pStyle w:val="Normal"/>
        <w:jc w:val="center"/>
        <w:rPr>
          <w:b/>
          <w:sz w:val="22"/>
        </w:rPr>
      </w:pPr>
      <w:r>
        <w:rPr>
          <w:b/>
          <w:sz w:val="22"/>
        </w:rPr>
        <w:t>EXHIBIT "A"</w:t>
      </w:r>
    </w:p>
    <w:p>
      <w:pPr>
        <w:pStyle w:val="Normal"/>
        <w:jc w:val="center"/>
        <w:rPr>
          <w:b/>
          <w:sz w:val="22"/>
          <w:u w:val="single"/>
        </w:rPr>
      </w:pPr>
      <w:r>
        <w:rPr>
          <w:b/>
          <w:sz w:val="22"/>
          <w:u w:val="single"/>
        </w:rPr>
      </w:r>
    </w:p>
    <w:p>
      <w:pPr>
        <w:pStyle w:val="Normal"/>
        <w:jc w:val="center"/>
        <w:rPr>
          <w:b/>
          <w:sz w:val="22"/>
          <w:u w:val="single"/>
        </w:rPr>
      </w:pPr>
      <w:r>
        <w:rPr>
          <w:b/>
          <w:sz w:val="22"/>
          <w:u w:val="single"/>
        </w:rPr>
        <w:t>MAXIMUM HOURLY CONTRACT QUANTITY</w:t>
      </w:r>
    </w:p>
    <w:p>
      <w:pPr>
        <w:pStyle w:val="Normal"/>
        <w:jc w:val="center"/>
        <w:rPr>
          <w:b/>
          <w:sz w:val="22"/>
          <w:u w:val="single"/>
        </w:rPr>
      </w:pPr>
      <w:r>
        <w:rPr>
          <w:b/>
          <w:sz w:val="22"/>
          <w:u w:val="single"/>
        </w:rPr>
      </w:r>
    </w:p>
    <w:p>
      <w:pPr>
        <w:pStyle w:val="Normal"/>
        <w:jc w:val="center"/>
        <w:rPr>
          <w:b/>
          <w:sz w:val="22"/>
        </w:rPr>
      </w:pPr>
      <w:r>
        <w:rPr>
          <w:b/>
          <w:sz w:val="22"/>
        </w:rPr>
      </w:r>
    </w:p>
    <w:tbl>
      <w:tblPr>
        <w:tblW w:w="10519" w:type="dxa"/>
        <w:jc w:val="start"/>
        <w:tblInd w:w="0" w:type="dxa"/>
        <w:tblLayout w:type="fixed"/>
        <w:tblCellMar>
          <w:top w:w="0" w:type="dxa"/>
          <w:start w:w="30" w:type="dxa"/>
          <w:bottom w:w="0" w:type="dxa"/>
          <w:end w:w="30" w:type="dxa"/>
        </w:tblCellMar>
      </w:tblPr>
      <w:tblGrid>
        <w:gridCol w:w="1766"/>
        <w:gridCol w:w="1215"/>
        <w:gridCol w:w="962"/>
        <w:gridCol w:w="1056"/>
        <w:gridCol w:w="569"/>
        <w:gridCol w:w="1562"/>
        <w:gridCol w:w="1277"/>
        <w:gridCol w:w="1056"/>
        <w:gridCol w:w="1056"/>
      </w:tblGrid>
      <w:tr>
        <w:trPr>
          <w:trHeight w:val="247" w:hRule="atLeast"/>
        </w:trPr>
        <w:tc>
          <w:tcPr>
            <w:tcW w:w="1766" w:type="dxa"/>
            <w:tcBorders>
              <w:top w:val="single" w:sz="6" w:space="0" w:color="000000"/>
              <w:start w:val="single" w:sz="6" w:space="0" w:color="000000"/>
            </w:tcBorders>
          </w:tcPr>
          <w:p>
            <w:pPr>
              <w:pStyle w:val="Normal"/>
              <w:snapToGrid w:val="false"/>
              <w:jc w:val="end"/>
              <w:rPr>
                <w:color w:val="000000"/>
                <w:sz w:val="22"/>
                <w:lang w:eastAsia="en-US"/>
              </w:rPr>
            </w:pPr>
            <w:r>
              <w:rPr>
                <w:color w:val="000000"/>
                <w:sz w:val="22"/>
                <w:lang w:eastAsia="en-US"/>
              </w:rPr>
            </w:r>
          </w:p>
        </w:tc>
        <w:tc>
          <w:tcPr>
            <w:tcW w:w="1215" w:type="dxa"/>
            <w:tcBorders>
              <w:top w:val="single" w:sz="6" w:space="0" w:color="000000"/>
            </w:tcBorders>
          </w:tcPr>
          <w:p>
            <w:pPr>
              <w:pStyle w:val="Normal"/>
              <w:rPr>
                <w:color w:val="000000"/>
                <w:sz w:val="22"/>
                <w:lang w:eastAsia="en-US"/>
              </w:rPr>
            </w:pPr>
            <w:r>
              <w:rPr>
                <w:color w:val="000000"/>
                <w:sz w:val="22"/>
                <w:lang w:eastAsia="en-US"/>
              </w:rPr>
              <w:t>Wheatland</w:t>
            </w:r>
          </w:p>
        </w:tc>
        <w:tc>
          <w:tcPr>
            <w:tcW w:w="962" w:type="dxa"/>
            <w:tcBorders>
              <w:top w:val="single" w:sz="6" w:space="0" w:color="000000"/>
            </w:tcBorders>
          </w:tcPr>
          <w:p>
            <w:pPr>
              <w:pStyle w:val="Normal"/>
              <w:rPr>
                <w:color w:val="000000"/>
                <w:sz w:val="22"/>
                <w:lang w:eastAsia="en-US"/>
              </w:rPr>
            </w:pPr>
            <w:r>
              <w:rPr>
                <w:color w:val="000000"/>
                <w:sz w:val="22"/>
                <w:lang w:eastAsia="en-US"/>
              </w:rPr>
              <w:t>Lincoln</w:t>
            </w:r>
          </w:p>
        </w:tc>
        <w:tc>
          <w:tcPr>
            <w:tcW w:w="1056" w:type="dxa"/>
            <w:tcBorders>
              <w:top w:val="single" w:sz="6" w:space="0" w:color="000000"/>
            </w:tcBorders>
          </w:tcPr>
          <w:p>
            <w:pPr>
              <w:pStyle w:val="Normal"/>
              <w:rPr>
                <w:color w:val="000000"/>
                <w:sz w:val="22"/>
                <w:lang w:eastAsia="en-US"/>
              </w:rPr>
            </w:pPr>
            <w:r>
              <w:rPr>
                <w:color w:val="000000"/>
                <w:sz w:val="22"/>
                <w:lang w:eastAsia="en-US"/>
              </w:rPr>
              <w:t>Gleason</w:t>
            </w:r>
          </w:p>
        </w:tc>
        <w:tc>
          <w:tcPr>
            <w:tcW w:w="569" w:type="dxa"/>
            <w:tcBorders>
              <w:top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tcBorders>
          </w:tcPr>
          <w:p>
            <w:pPr>
              <w:pStyle w:val="Normal"/>
              <w:rPr>
                <w:color w:val="000000"/>
                <w:sz w:val="22"/>
                <w:lang w:eastAsia="en-US"/>
              </w:rPr>
            </w:pPr>
            <w:r>
              <w:rPr>
                <w:color w:val="000000"/>
                <w:sz w:val="22"/>
                <w:lang w:eastAsia="en-US"/>
              </w:rPr>
              <w:t>Wheatland</w:t>
            </w:r>
          </w:p>
        </w:tc>
        <w:tc>
          <w:tcPr>
            <w:tcW w:w="1056" w:type="dxa"/>
            <w:tcBorders>
              <w:top w:val="single" w:sz="6" w:space="0" w:color="000000"/>
            </w:tcBorders>
          </w:tcPr>
          <w:p>
            <w:pPr>
              <w:pStyle w:val="Normal"/>
              <w:rPr>
                <w:color w:val="000000"/>
                <w:sz w:val="22"/>
                <w:lang w:eastAsia="en-US"/>
              </w:rPr>
            </w:pPr>
            <w:r>
              <w:rPr>
                <w:color w:val="000000"/>
                <w:sz w:val="22"/>
                <w:lang w:eastAsia="en-US"/>
              </w:rPr>
              <w:t>Lincoln</w:t>
            </w:r>
          </w:p>
        </w:tc>
        <w:tc>
          <w:tcPr>
            <w:tcW w:w="1056" w:type="dxa"/>
            <w:tcBorders>
              <w:top w:val="single" w:sz="6" w:space="0" w:color="000000"/>
              <w:end w:val="single" w:sz="6" w:space="0" w:color="000000"/>
            </w:tcBorders>
          </w:tcPr>
          <w:p>
            <w:pPr>
              <w:pStyle w:val="Normal"/>
              <w:rPr>
                <w:color w:val="000000"/>
                <w:sz w:val="22"/>
                <w:lang w:eastAsia="en-US"/>
              </w:rPr>
            </w:pPr>
            <w:r>
              <w:rPr>
                <w:color w:val="000000"/>
                <w:sz w:val="22"/>
                <w:lang w:eastAsia="en-US"/>
              </w:rPr>
              <w:t>Gleason</w:t>
            </w:r>
          </w:p>
        </w:tc>
      </w:tr>
      <w:tr>
        <w:trPr>
          <w:trHeight w:val="247" w:hRule="atLeast"/>
        </w:trPr>
        <w:tc>
          <w:tcPr>
            <w:tcW w:w="1766" w:type="dxa"/>
            <w:tcBorders>
              <w:start w:val="single" w:sz="6" w:space="0" w:color="000000"/>
            </w:tcBorders>
          </w:tcPr>
          <w:p>
            <w:pPr>
              <w:pStyle w:val="Normal"/>
              <w:snapToGrid w:val="false"/>
              <w:jc w:val="end"/>
              <w:rPr>
                <w:color w:val="000000"/>
                <w:sz w:val="22"/>
                <w:lang w:eastAsia="en-US"/>
              </w:rPr>
            </w:pPr>
            <w:r>
              <w:rPr>
                <w:color w:val="000000"/>
                <w:sz w:val="22"/>
                <w:lang w:eastAsia="en-US"/>
              </w:rPr>
            </w:r>
          </w:p>
        </w:tc>
        <w:tc>
          <w:tcPr>
            <w:tcW w:w="1215" w:type="dxa"/>
            <w:tcBorders/>
          </w:tcPr>
          <w:p>
            <w:pPr>
              <w:pStyle w:val="Normal"/>
              <w:rPr>
                <w:color w:val="000000"/>
                <w:sz w:val="22"/>
                <w:lang w:eastAsia="en-US"/>
              </w:rPr>
            </w:pPr>
            <w:r>
              <w:rPr>
                <w:color w:val="000000"/>
                <w:sz w:val="22"/>
                <w:lang w:eastAsia="en-US"/>
              </w:rPr>
              <w:t>Delivery</w:t>
            </w:r>
          </w:p>
        </w:tc>
        <w:tc>
          <w:tcPr>
            <w:tcW w:w="962" w:type="dxa"/>
            <w:tcBorders/>
          </w:tcPr>
          <w:p>
            <w:pPr>
              <w:pStyle w:val="Normal"/>
              <w:rPr>
                <w:color w:val="000000"/>
                <w:sz w:val="22"/>
                <w:lang w:eastAsia="en-US"/>
              </w:rPr>
            </w:pPr>
            <w:r>
              <w:rPr>
                <w:color w:val="000000"/>
                <w:sz w:val="22"/>
                <w:lang w:eastAsia="en-US"/>
              </w:rPr>
              <w:t>Delivery</w:t>
            </w:r>
          </w:p>
        </w:tc>
        <w:tc>
          <w:tcPr>
            <w:tcW w:w="1056" w:type="dxa"/>
            <w:tcBorders/>
          </w:tcPr>
          <w:p>
            <w:pPr>
              <w:pStyle w:val="Normal"/>
              <w:rPr>
                <w:color w:val="000000"/>
                <w:sz w:val="22"/>
                <w:lang w:eastAsia="en-US"/>
              </w:rPr>
            </w:pPr>
            <w:r>
              <w:rPr>
                <w:color w:val="000000"/>
                <w:sz w:val="22"/>
                <w:lang w:eastAsia="en-US"/>
              </w:rPr>
              <w:t>Delivery</w:t>
            </w:r>
          </w:p>
        </w:tc>
        <w:tc>
          <w:tcPr>
            <w:tcW w:w="569" w:type="dxa"/>
            <w:tcBorders/>
          </w:tcPr>
          <w:p>
            <w:pPr>
              <w:pStyle w:val="Normal"/>
              <w:snapToGrid w:val="false"/>
              <w:jc w:val="end"/>
              <w:rPr>
                <w:color w:val="000000"/>
                <w:sz w:val="22"/>
                <w:lang w:eastAsia="en-US"/>
              </w:rPr>
            </w:pPr>
            <w:r>
              <w:rPr>
                <w:color w:val="000000"/>
                <w:sz w:val="22"/>
                <w:lang w:eastAsia="en-US"/>
              </w:rPr>
            </w:r>
          </w:p>
        </w:tc>
        <w:tc>
          <w:tcPr>
            <w:tcW w:w="1562" w:type="dxa"/>
            <w:tcBorders/>
          </w:tcPr>
          <w:p>
            <w:pPr>
              <w:pStyle w:val="Normal"/>
              <w:snapToGrid w:val="false"/>
              <w:jc w:val="end"/>
              <w:rPr>
                <w:color w:val="000000"/>
                <w:sz w:val="22"/>
                <w:lang w:eastAsia="en-US"/>
              </w:rPr>
            </w:pPr>
            <w:r>
              <w:rPr>
                <w:color w:val="000000"/>
                <w:sz w:val="22"/>
                <w:lang w:eastAsia="en-US"/>
              </w:rPr>
            </w:r>
          </w:p>
        </w:tc>
        <w:tc>
          <w:tcPr>
            <w:tcW w:w="1277" w:type="dxa"/>
            <w:tcBorders/>
          </w:tcPr>
          <w:p>
            <w:pPr>
              <w:pStyle w:val="Normal"/>
              <w:rPr>
                <w:color w:val="000000"/>
                <w:sz w:val="22"/>
                <w:lang w:eastAsia="en-US"/>
              </w:rPr>
            </w:pPr>
            <w:r>
              <w:rPr>
                <w:color w:val="000000"/>
                <w:sz w:val="22"/>
                <w:lang w:eastAsia="en-US"/>
              </w:rPr>
              <w:t>Delivery</w:t>
            </w:r>
          </w:p>
        </w:tc>
        <w:tc>
          <w:tcPr>
            <w:tcW w:w="1056" w:type="dxa"/>
            <w:tcBorders/>
          </w:tcPr>
          <w:p>
            <w:pPr>
              <w:pStyle w:val="Normal"/>
              <w:rPr>
                <w:color w:val="000000"/>
                <w:sz w:val="22"/>
                <w:lang w:eastAsia="en-US"/>
              </w:rPr>
            </w:pPr>
            <w:r>
              <w:rPr>
                <w:color w:val="000000"/>
                <w:sz w:val="22"/>
                <w:lang w:eastAsia="en-US"/>
              </w:rPr>
              <w:t>Delivery</w:t>
            </w:r>
          </w:p>
        </w:tc>
        <w:tc>
          <w:tcPr>
            <w:tcW w:w="1056" w:type="dxa"/>
            <w:tcBorders>
              <w:end w:val="single" w:sz="6" w:space="0" w:color="000000"/>
            </w:tcBorders>
          </w:tcPr>
          <w:p>
            <w:pPr>
              <w:pStyle w:val="Normal"/>
              <w:rPr>
                <w:color w:val="000000"/>
                <w:sz w:val="22"/>
                <w:lang w:eastAsia="en-US"/>
              </w:rPr>
            </w:pPr>
            <w:r>
              <w:rPr>
                <w:color w:val="000000"/>
                <w:sz w:val="22"/>
                <w:lang w:eastAsia="en-US"/>
              </w:rPr>
              <w:t>Delivery</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 xml:space="preserve">Month-Year  </w:t>
            </w:r>
          </w:p>
        </w:tc>
        <w:tc>
          <w:tcPr>
            <w:tcW w:w="1215"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962"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Month Year</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55"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bl>
    <w:p>
      <w:pPr>
        <w:pStyle w:val="Normal"/>
        <w:rPr>
          <w:sz w:val="22"/>
        </w:rPr>
      </w:pPr>
      <w:r>
        <w:rPr>
          <w:sz w:val="22"/>
        </w:rPr>
      </w:r>
    </w:p>
    <w:p>
      <w:pPr>
        <w:sectPr>
          <w:footerReference w:type="default" r:id="rId4"/>
          <w:footerReference w:type="first" r:id="rId5"/>
          <w:type w:val="nextPage"/>
          <w:pgSz w:w="12240" w:h="15840"/>
          <w:pgMar w:left="1008" w:right="1800" w:gutter="0" w:header="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EXHIBIT "B"</w:t>
      </w:r>
    </w:p>
    <w:p>
      <w:pPr>
        <w:pStyle w:val="Normal"/>
        <w:rPr>
          <w:b/>
          <w:sz w:val="22"/>
        </w:rPr>
      </w:pPr>
      <w:r>
        <w:rPr>
          <w:b/>
          <w:sz w:val="22"/>
        </w:rPr>
      </w:r>
    </w:p>
    <w:p>
      <w:pPr>
        <w:pStyle w:val="Heading1"/>
        <w:ind w:hanging="0" w:start="0"/>
        <w:rPr>
          <w:sz w:val="22"/>
        </w:rPr>
      </w:pPr>
      <w:r>
        <w:rPr>
          <w:sz w:val="22"/>
        </w:rPr>
        <w:t>DELIVERY POINTS</w:t>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b w:val="false"/>
          <w:i w:val="false"/>
          <w:sz w:val="22"/>
        </w:rPr>
        <w:t>The Delivery Points shall be any or all of the following delivery points ("Delivery Points") or any other mutually agreeable delivery points:</w:t>
      </w:r>
    </w:p>
    <w:p>
      <w:pPr>
        <w:pStyle w:val="Heading2"/>
        <w:tabs>
          <w:tab w:val="clear" w:pos="720"/>
          <w:tab w:val="left" w:pos="3960" w:leader="none"/>
          <w:tab w:val="left" w:pos="4230" w:leader="none"/>
        </w:tabs>
        <w:ind w:hanging="2790" w:start="423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Gleason Delivery Point</w:t>
        <w:tab/>
        <w:t>-</w:t>
        <w:tab/>
        <w:t>"Into TVA, Seller's Choice", including the Gleason substation on TVA's Johnsonville-Weakley 500 Kv transmission system and/or the proposed Gleason control area.</w:t>
      </w:r>
    </w:p>
    <w:p>
      <w:pPr>
        <w:pStyle w:val="Heading2"/>
        <w:tabs>
          <w:tab w:val="clear" w:pos="720"/>
          <w:tab w:val="left" w:pos="3960" w:leader="none"/>
          <w:tab w:val="left" w:pos="4230" w:leader="none"/>
        </w:tabs>
        <w:ind w:hanging="2790" w:start="423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Lincoln Delivery Point</w:t>
        <w:tab/>
        <w:t>-</w:t>
        <w:tab/>
        <w:t>"Into ComEd, Seller's Choice", including the Wilton Center substation on ComEd’s 345 Kv transmission system and/or the proposed Lincoln Center control area.</w:t>
      </w:r>
    </w:p>
    <w:p>
      <w:pPr>
        <w:pStyle w:val="Heading2"/>
        <w:tabs>
          <w:tab w:val="clear" w:pos="720"/>
          <w:tab w:val="left" w:pos="3960" w:leader="none"/>
          <w:tab w:val="left" w:pos="4230" w:leader="none"/>
        </w:tabs>
        <w:ind w:hanging="2790" w:start="423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Wheatland Delivery Point</w:t>
        <w:tab/>
        <w:t xml:space="preserve">- </w:t>
        <w:tab/>
        <w:t>"Into Cinergy, Seller's Choice", including the Breed Line substation on Cinergy's 345 Kv transmission system and/or the proposed Wheatland control area.</w:t>
      </w:r>
    </w:p>
    <w:p>
      <w:pPr>
        <w:pStyle w:val="para"/>
        <w:rPr>
          <w:rFonts w:ascii="Times New Roman" w:hAnsi="Times New Roman" w:cs="Times New Roman"/>
          <w:b/>
          <w:i/>
          <w:i/>
          <w:sz w:val="22"/>
        </w:rPr>
      </w:pPr>
      <w:r>
        <w:rPr>
          <w:rFonts w:cs="Times New Roman"/>
          <w:b/>
          <w:i/>
          <w:sz w:val="22"/>
        </w:rPr>
      </w:r>
    </w:p>
    <w:p>
      <w:pPr>
        <w:pStyle w:val="Normal"/>
        <w:rPr>
          <w:sz w:val="22"/>
        </w:rPr>
      </w:pPr>
      <w:r>
        <w:rPr>
          <w:sz w:val="22"/>
        </w:rPr>
      </w:r>
    </w:p>
    <w:p>
      <w:pPr>
        <w:sectPr>
          <w:footerReference w:type="default" r:id="rId6"/>
          <w:footerReference w:type="first" r:id="rId7"/>
          <w:type w:val="nextPage"/>
          <w:pgSz w:w="12240" w:h="15840"/>
          <w:pgMar w:left="1008" w:right="1800" w:gutter="0" w:header="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EXHIBIT "C"</w:t>
      </w:r>
    </w:p>
    <w:p>
      <w:pPr>
        <w:pStyle w:val="Normal"/>
        <w:jc w:val="center"/>
        <w:rPr>
          <w:b/>
          <w:sz w:val="22"/>
        </w:rPr>
      </w:pPr>
      <w:r>
        <w:rPr>
          <w:b/>
          <w:sz w:val="22"/>
        </w:rPr>
      </w:r>
    </w:p>
    <w:p>
      <w:pPr>
        <w:pStyle w:val="Heading1"/>
        <w:ind w:hanging="0" w:start="0"/>
        <w:rPr>
          <w:caps/>
          <w:sz w:val="22"/>
          <w:u w:val="single"/>
        </w:rPr>
      </w:pPr>
      <w:r>
        <w:rPr>
          <w:caps/>
          <w:sz w:val="22"/>
          <w:u w:val="single"/>
        </w:rPr>
        <w:t>ENERGY PRICE</w:t>
      </w:r>
    </w:p>
    <w:p>
      <w:pPr>
        <w:pStyle w:val="Normal"/>
        <w:jc w:val="both"/>
        <w:rPr>
          <w:b/>
          <w:caps/>
          <w:sz w:val="22"/>
          <w:u w:val="single"/>
        </w:rPr>
      </w:pPr>
      <w:r>
        <w:rPr>
          <w:b/>
          <w:caps/>
          <w:sz w:val="22"/>
          <w:u w:val="single"/>
        </w:rPr>
      </w:r>
    </w:p>
    <w:p>
      <w:pPr>
        <w:pStyle w:val="Normal"/>
        <w:jc w:val="both"/>
        <w:rPr>
          <w:b/>
          <w:sz w:val="22"/>
        </w:rPr>
      </w:pPr>
      <w:r>
        <w:rPr>
          <w:b/>
          <w:sz w:val="22"/>
        </w:rPr>
      </w:r>
    </w:p>
    <w:p>
      <w:pPr>
        <w:pStyle w:val="para"/>
        <w:jc w:val="both"/>
        <w:rPr/>
      </w:pPr>
      <w:r>
        <w:rPr/>
        <w:t>The Energy Price shall be equal to the sum of the Daily Energy Charges at each of the Delivery Points calculated for each Day of the applicable Month, taking into consideration whether such Month is in the Summer Season or the Non-Summer Season.  The Daily Energy Charges shall be calculated as follows:</w:t>
      </w:r>
    </w:p>
    <w:p>
      <w:pPr>
        <w:pStyle w:val="Normal"/>
        <w:jc w:val="both"/>
        <w:rPr>
          <w:sz w:val="22"/>
        </w:rPr>
      </w:pPr>
      <w:r>
        <w:rPr>
          <w:sz w:val="22"/>
        </w:rPr>
      </w:r>
    </w:p>
    <w:p>
      <w:pPr>
        <w:pStyle w:val="Normal"/>
        <w:jc w:val="both"/>
        <w:rPr>
          <w:sz w:val="22"/>
          <w:u w:val="single"/>
        </w:rPr>
      </w:pPr>
      <w:r>
        <w:rPr>
          <w:sz w:val="22"/>
          <w:u w:val="single"/>
        </w:rPr>
        <w:t>Daily Energy Charge during the Summer Season</w:t>
      </w:r>
    </w:p>
    <w:p>
      <w:pPr>
        <w:pStyle w:val="Normal"/>
        <w:jc w:val="both"/>
        <w:rPr>
          <w:sz w:val="22"/>
          <w:u w:val="single"/>
        </w:rPr>
      </w:pPr>
      <w:r>
        <w:rPr>
          <w:sz w:val="22"/>
          <w:u w:val="single"/>
        </w:rPr>
      </w:r>
    </w:p>
    <w:p>
      <w:pPr>
        <w:pStyle w:val="Normal"/>
        <w:jc w:val="both"/>
        <w:rPr>
          <w:sz w:val="22"/>
        </w:rPr>
      </w:pPr>
      <w:r>
        <w:rPr>
          <w:sz w:val="22"/>
        </w:rPr>
        <w:t>Energy Delivered at the Gleason Delivery Point x [(11.5 MMBtu/MWh x Gleason Summer Season Gas Index) + $2.50/MWh]</w:t>
      </w:r>
    </w:p>
    <w:p>
      <w:pPr>
        <w:pStyle w:val="Normal"/>
        <w:jc w:val="both"/>
        <w:rPr>
          <w:sz w:val="22"/>
        </w:rPr>
      </w:pPr>
      <w:r>
        <w:rPr>
          <w:sz w:val="22"/>
        </w:rPr>
        <w:t>Energy Delivered at the Lincoln Delivery Point x [(11.5 MMBtu/MWh x Lincoln Summer Season Gas Index) + $2.50/MWh]</w:t>
      </w:r>
    </w:p>
    <w:p>
      <w:pPr>
        <w:pStyle w:val="Normal"/>
        <w:jc w:val="both"/>
        <w:rPr>
          <w:sz w:val="22"/>
        </w:rPr>
      </w:pPr>
      <w:r>
        <w:rPr>
          <w:sz w:val="22"/>
        </w:rPr>
        <w:t>Energy Delivered at the Wheatland Delivery Point x [(11.5 MMBtu/MWh x Wheatland Summer Season Gas Index) + $2.50/MWh]</w:t>
      </w:r>
    </w:p>
    <w:p>
      <w:pPr>
        <w:pStyle w:val="Normal"/>
        <w:jc w:val="both"/>
        <w:rPr>
          <w:sz w:val="22"/>
        </w:rPr>
      </w:pPr>
      <w:r>
        <w:rPr>
          <w:sz w:val="22"/>
        </w:rPr>
      </w:r>
    </w:p>
    <w:p>
      <w:pPr>
        <w:pStyle w:val="Normal"/>
        <w:jc w:val="both"/>
        <w:rPr>
          <w:sz w:val="22"/>
          <w:u w:val="single"/>
        </w:rPr>
      </w:pPr>
      <w:r>
        <w:rPr>
          <w:sz w:val="22"/>
          <w:u w:val="single"/>
        </w:rPr>
        <w:t>Daily Energy Charge during the Non-Summer Season</w:t>
      </w:r>
    </w:p>
    <w:p>
      <w:pPr>
        <w:pStyle w:val="Normal"/>
        <w:jc w:val="both"/>
        <w:rPr>
          <w:sz w:val="22"/>
          <w:u w:val="single"/>
        </w:rPr>
      </w:pPr>
      <w:r>
        <w:rPr>
          <w:sz w:val="22"/>
          <w:u w:val="single"/>
        </w:rPr>
      </w:r>
    </w:p>
    <w:p>
      <w:pPr>
        <w:pStyle w:val="Normal"/>
        <w:jc w:val="both"/>
        <w:rPr>
          <w:sz w:val="22"/>
        </w:rPr>
      </w:pPr>
      <w:r>
        <w:rPr>
          <w:sz w:val="22"/>
        </w:rPr>
        <w:t>Energy Delivered at the Gleason Delivery Point x [(11.5 MMBtu/MWh x Gleason Non-Summer Season Gas Index) + $2.50/MWh]</w:t>
      </w:r>
    </w:p>
    <w:p>
      <w:pPr>
        <w:pStyle w:val="Normal"/>
        <w:jc w:val="both"/>
        <w:rPr>
          <w:sz w:val="22"/>
        </w:rPr>
      </w:pPr>
      <w:r>
        <w:rPr>
          <w:sz w:val="22"/>
        </w:rPr>
        <w:t>Energy Delivered at the Lincoln Delivery Point x [(11.5 MMBtu/MWh x Lincoln Non-Summer Season Gas Index) + $2.50/MWh]</w:t>
      </w:r>
    </w:p>
    <w:p>
      <w:pPr>
        <w:pStyle w:val="Normal"/>
        <w:jc w:val="both"/>
        <w:rPr>
          <w:sz w:val="22"/>
        </w:rPr>
      </w:pPr>
      <w:r>
        <w:rPr>
          <w:sz w:val="22"/>
        </w:rPr>
        <w:t>Energy Delivered at the Wheatland Delivery Point x [(11.5 MMBtu/MWh x Wheatland Non-Summer Season Gas Index) + $2.50/MWh]</w:t>
      </w:r>
    </w:p>
    <w:p>
      <w:pPr>
        <w:pStyle w:val="Normal"/>
        <w:jc w:val="both"/>
        <w:rPr>
          <w:sz w:val="22"/>
        </w:rPr>
      </w:pPr>
      <w:r>
        <w:rPr>
          <w:sz w:val="22"/>
        </w:rPr>
      </w:r>
    </w:p>
    <w:p>
      <w:pPr>
        <w:pStyle w:val="Normal"/>
        <w:jc w:val="both"/>
        <w:rPr>
          <w:sz w:val="22"/>
        </w:rPr>
      </w:pPr>
      <w:r>
        <w:rPr>
          <w:sz w:val="22"/>
        </w:rPr>
        <w:t>where,</w:t>
      </w:r>
    </w:p>
    <w:p>
      <w:pPr>
        <w:pStyle w:val="Normal"/>
        <w:jc w:val="both"/>
        <w:rPr>
          <w:sz w:val="22"/>
        </w:rPr>
      </w:pPr>
      <w:r>
        <w:rPr>
          <w:sz w:val="22"/>
        </w:rPr>
      </w:r>
    </w:p>
    <w:p>
      <w:pPr>
        <w:pStyle w:val="Normal"/>
        <w:jc w:val="both"/>
        <w:rPr>
          <w:sz w:val="22"/>
        </w:rPr>
      </w:pPr>
      <w:r>
        <w:rPr>
          <w:sz w:val="22"/>
        </w:rPr>
        <w:t>Energy Delivered = The total quantity of Energy (in MWh) that was Scheduled or that Buyer was obligated to purchase at each Delivery Point on the applicable Day for all 16 On-Peak Hours of the applicable Day</w:t>
      </w:r>
    </w:p>
    <w:p>
      <w:pPr>
        <w:pStyle w:val="Normal"/>
        <w:jc w:val="both"/>
        <w:rPr>
          <w:sz w:val="22"/>
        </w:rPr>
      </w:pPr>
      <w:r>
        <w:rPr>
          <w:sz w:val="22"/>
        </w:rPr>
      </w:r>
    </w:p>
    <w:p>
      <w:pPr>
        <w:pStyle w:val="Normal"/>
        <w:jc w:val="both"/>
        <w:rPr>
          <w:sz w:val="22"/>
        </w:rPr>
      </w:pPr>
      <w:r>
        <w:rPr>
          <w:sz w:val="22"/>
        </w:rPr>
        <w:t>and where,</w:t>
      </w:r>
    </w:p>
    <w:p>
      <w:pPr>
        <w:pStyle w:val="Normal"/>
        <w:jc w:val="both"/>
        <w:rPr>
          <w:sz w:val="22"/>
        </w:rPr>
      </w:pPr>
      <w:r>
        <w:rPr>
          <w:sz w:val="22"/>
        </w:rPr>
      </w:r>
    </w:p>
    <w:p>
      <w:pPr>
        <w:pStyle w:val="Normal"/>
        <w:jc w:val="both"/>
        <w:rPr>
          <w:sz w:val="22"/>
        </w:rPr>
      </w:pPr>
      <w:r>
        <w:rPr>
          <w:sz w:val="22"/>
        </w:rPr>
        <w:t>Gleason Summer Season Gas Index = Inside F.E.R.C. ANR Louisiana + $0.195</w:t>
      </w:r>
    </w:p>
    <w:p>
      <w:pPr>
        <w:pStyle w:val="Normal"/>
        <w:jc w:val="both"/>
        <w:rPr>
          <w:sz w:val="22"/>
        </w:rPr>
      </w:pPr>
      <w:r>
        <w:rPr>
          <w:sz w:val="22"/>
        </w:rPr>
      </w:r>
    </w:p>
    <w:p>
      <w:pPr>
        <w:pStyle w:val="Heading3"/>
        <w:ind w:hanging="0" w:start="0"/>
        <w:jc w:val="both"/>
        <w:rPr/>
      </w:pPr>
      <w:r>
        <w:rPr>
          <w:sz w:val="22"/>
        </w:rPr>
        <w:t xml:space="preserve">Gleason Non-Summer Season Gas Index = NGI (Bidweek) Michigan Consolidated </w:t>
      </w:r>
      <w:r>
        <w:rPr>
          <w:b/>
          <w:sz w:val="22"/>
        </w:rPr>
        <w:t xml:space="preserve">+ </w:t>
      </w:r>
      <w:r>
        <w:rPr>
          <w:sz w:val="22"/>
        </w:rPr>
        <w:t>$0.12</w:t>
      </w:r>
    </w:p>
    <w:p>
      <w:pPr>
        <w:pStyle w:val="Normal"/>
        <w:jc w:val="both"/>
        <w:rPr>
          <w:sz w:val="22"/>
        </w:rPr>
      </w:pPr>
      <w:r>
        <w:rPr>
          <w:sz w:val="22"/>
        </w:rPr>
      </w:r>
    </w:p>
    <w:p>
      <w:pPr>
        <w:pStyle w:val="Normal"/>
        <w:jc w:val="both"/>
        <w:rPr>
          <w:sz w:val="22"/>
        </w:rPr>
      </w:pPr>
      <w:r>
        <w:rPr>
          <w:sz w:val="22"/>
        </w:rPr>
        <w:t>Lincoln Summer Season Gas Index = NGI (Bidweek) Chicago Citygate +$0.10</w:t>
      </w:r>
    </w:p>
    <w:p>
      <w:pPr>
        <w:pStyle w:val="Normal"/>
        <w:jc w:val="both"/>
        <w:rPr>
          <w:sz w:val="22"/>
        </w:rPr>
      </w:pPr>
      <w:r>
        <w:rPr>
          <w:sz w:val="22"/>
        </w:rPr>
      </w:r>
    </w:p>
    <w:p>
      <w:pPr>
        <w:pStyle w:val="Normal"/>
        <w:jc w:val="both"/>
        <w:rPr>
          <w:sz w:val="22"/>
        </w:rPr>
      </w:pPr>
      <w:r>
        <w:rPr>
          <w:sz w:val="22"/>
        </w:rPr>
        <w:t>Lincoln Non-Summer Season Gas Index = NGI (Bidweek) Chicago Citygate +$0.21</w:t>
      </w:r>
    </w:p>
    <w:p>
      <w:pPr>
        <w:pStyle w:val="Normal"/>
        <w:jc w:val="both"/>
        <w:rPr>
          <w:sz w:val="22"/>
        </w:rPr>
      </w:pPr>
      <w:r>
        <w:rPr>
          <w:sz w:val="22"/>
        </w:rPr>
      </w:r>
    </w:p>
    <w:p>
      <w:pPr>
        <w:pStyle w:val="Heading3"/>
        <w:ind w:hanging="0" w:start="0"/>
        <w:jc w:val="both"/>
        <w:rPr>
          <w:b/>
          <w:sz w:val="22"/>
        </w:rPr>
      </w:pPr>
      <w:r>
        <w:rPr>
          <w:sz w:val="22"/>
        </w:rPr>
        <w:t>Wheatland Summer Season Gas Index = Inside F.E.R.C. Tenn Gas Pipeline Co. - La &amp; Offshore (zone 1) + $0.25</w:t>
      </w:r>
    </w:p>
    <w:p>
      <w:pPr>
        <w:pStyle w:val="Normal"/>
        <w:rPr>
          <w:b/>
          <w:sz w:val="22"/>
        </w:rPr>
      </w:pPr>
      <w:r>
        <w:rPr>
          <w:b/>
          <w:sz w:val="22"/>
        </w:rPr>
      </w:r>
    </w:p>
    <w:p>
      <w:pPr>
        <w:pStyle w:val="Normal"/>
        <w:jc w:val="both"/>
        <w:rPr>
          <w:sz w:val="22"/>
        </w:rPr>
      </w:pPr>
      <w:r>
        <w:rPr>
          <w:sz w:val="22"/>
        </w:rPr>
        <w:t>Wheatland Non-Summer Season Gas Index = NGI (Bidweek) Chicago Citygate +$0.08</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sz w:val="22"/>
        </w:rPr>
        <w:t>and where,</w:t>
      </w:r>
    </w:p>
    <w:p>
      <w:pPr>
        <w:pStyle w:val="Normal"/>
        <w:jc w:val="both"/>
        <w:rPr>
          <w:b/>
          <w:sz w:val="22"/>
        </w:rPr>
      </w:pPr>
      <w:r>
        <w:rPr>
          <w:b/>
          <w:sz w:val="22"/>
        </w:rPr>
      </w:r>
    </w:p>
    <w:p>
      <w:pPr>
        <w:pStyle w:val="Normal"/>
        <w:jc w:val="both"/>
        <w:rPr>
          <w:sz w:val="22"/>
        </w:rPr>
      </w:pPr>
      <w:r>
        <w:rPr>
          <w:sz w:val="22"/>
        </w:rPr>
        <w:t>“</w:t>
      </w:r>
      <w:r>
        <w:rPr>
          <w:sz w:val="22"/>
        </w:rPr>
        <w:t>Inside F.E.R.C. ANR Louisiana” means the ANR Pipeline Co. – Louisiana Index price for delivery during the applicable Month containing the Delivery Term in the “Prices of Spot Gas Delivered to Pipelines” section located in the first issue of Inside F.E.R.C.’s Gas Market Report published during the applicable Month containing the Delivery Term.</w:t>
      </w:r>
    </w:p>
    <w:p>
      <w:pPr>
        <w:pStyle w:val="Normal"/>
        <w:jc w:val="both"/>
        <w:rPr>
          <w:sz w:val="22"/>
        </w:rPr>
      </w:pPr>
      <w:r>
        <w:rPr>
          <w:sz w:val="22"/>
        </w:rPr>
      </w:r>
    </w:p>
    <w:p>
      <w:pPr>
        <w:pStyle w:val="Normal"/>
        <w:jc w:val="both"/>
        <w:rPr>
          <w:b/>
          <w:sz w:val="22"/>
        </w:rPr>
      </w:pPr>
      <w:r>
        <w:rPr>
          <w:sz w:val="22"/>
        </w:rPr>
        <w:t>“</w:t>
      </w:r>
      <w:r>
        <w:rPr>
          <w:sz w:val="22"/>
        </w:rPr>
        <w:t>NGI (Bidweek) Michigan Consolidated” means the applicable Month containing the Delivery Term Bidweek Average Price in the row entitled “Michigan Consolidated” located in the “Midwest” section of the table entitled “Spot Gas Prices” in the first issue of Natural Gas Intelligence Weekly Gas Price Index for the applicable Month containing the Delivery Term.</w:t>
      </w:r>
    </w:p>
    <w:p>
      <w:pPr>
        <w:pStyle w:val="Normal"/>
        <w:jc w:val="both"/>
        <w:rPr>
          <w:b/>
          <w:sz w:val="22"/>
        </w:rPr>
      </w:pPr>
      <w:r>
        <w:rPr>
          <w:b/>
          <w:sz w:val="22"/>
        </w:rPr>
      </w:r>
    </w:p>
    <w:p>
      <w:pPr>
        <w:pStyle w:val="Normal"/>
        <w:jc w:val="both"/>
        <w:rPr>
          <w:sz w:val="22"/>
        </w:rPr>
      </w:pPr>
      <w:r>
        <w:rPr>
          <w:sz w:val="22"/>
        </w:rPr>
        <w:t>“</w:t>
      </w:r>
      <w:r>
        <w:rPr>
          <w:sz w:val="22"/>
        </w:rPr>
        <w:t>NGI (Bidweek) Chicago Citygate” means the applicable Month containing the Delivery Term Bidweek Average Price in the row entitled “Chicago Citygate” located in the “Midwest” section of the table entitled “Spot Gas Prices” in the first issue of Natural Gas Intelligence Weekly Gas Price Index for the applicable Month containing the Delivery Term.</w:t>
      </w:r>
    </w:p>
    <w:p>
      <w:pPr>
        <w:pStyle w:val="Normal"/>
        <w:jc w:val="both"/>
        <w:rPr>
          <w:sz w:val="22"/>
        </w:rPr>
      </w:pPr>
      <w:r>
        <w:rPr>
          <w:sz w:val="22"/>
        </w:rPr>
      </w:r>
    </w:p>
    <w:p>
      <w:pPr>
        <w:pStyle w:val="Normal"/>
        <w:jc w:val="both"/>
        <w:rPr>
          <w:b/>
          <w:sz w:val="22"/>
        </w:rPr>
      </w:pPr>
      <w:r>
        <w:rPr>
          <w:sz w:val="22"/>
        </w:rPr>
        <w:t>“</w:t>
      </w:r>
      <w:r>
        <w:rPr>
          <w:sz w:val="22"/>
        </w:rPr>
        <w:t>Inside F.E.R.C. Tenn Gas Pipeline Co. - La &amp; Offshore (zone 1)” means the Tennessee Gas Pipeline Co. – La. &amp; Offshore (zone 1) Index price for delivery during the applicable Month containing the Delivery Term in the “Prices of Spot Gas Delivered to Pipelines” section located in the first issue of Inside F.E.R.C.’s Gas Market Report published during the applicable Month containing the Delivery Term.</w:t>
      </w:r>
    </w:p>
    <w:p>
      <w:pPr>
        <w:pStyle w:val="Normal"/>
        <w:jc w:val="center"/>
        <w:rPr>
          <w:b/>
          <w:sz w:val="22"/>
        </w:rPr>
      </w:pPr>
      <w:r>
        <w:rPr>
          <w:b/>
          <w:sz w:val="22"/>
        </w:rPr>
      </w:r>
    </w:p>
    <w:p>
      <w:pPr>
        <w:sectPr>
          <w:footerReference w:type="default" r:id="rId8"/>
          <w:footerReference w:type="first" r:id="rId9"/>
          <w:type w:val="nextPage"/>
          <w:pgSz w:w="12240" w:h="15840"/>
          <w:pgMar w:left="1008" w:right="1800" w:gutter="0" w:header="0" w:top="1440" w:footer="720" w:bottom="1440"/>
          <w:pgNumType w:fmt="decimal"/>
          <w:formProt w:val="false"/>
          <w:textDirection w:val="lrTb"/>
          <w:docGrid w:type="default" w:linePitch="360" w:charSpace="0"/>
        </w:sectPr>
        <w:pStyle w:val="Normal"/>
        <w:jc w:val="center"/>
        <w:rPr>
          <w:b/>
          <w:sz w:val="22"/>
        </w:rPr>
      </w:pPr>
      <w:r>
        <w:rPr>
          <w:b/>
          <w:sz w:val="22"/>
        </w:rPr>
      </w:r>
    </w:p>
    <w:p>
      <w:pPr>
        <w:pStyle w:val="Normal"/>
        <w:jc w:val="center"/>
        <w:rPr>
          <w:b/>
          <w:sz w:val="22"/>
        </w:rPr>
      </w:pPr>
      <w:r>
        <w:rPr>
          <w:b/>
          <w:sz w:val="22"/>
        </w:rPr>
        <w:t>EXHIBIT "D"</w:t>
      </w:r>
    </w:p>
    <w:p>
      <w:pPr>
        <w:pStyle w:val="Normal"/>
        <w:jc w:val="center"/>
        <w:rPr>
          <w:b/>
          <w:sz w:val="22"/>
        </w:rPr>
      </w:pPr>
      <w:r>
        <w:rPr>
          <w:b/>
          <w:sz w:val="22"/>
        </w:rPr>
      </w:r>
    </w:p>
    <w:p>
      <w:pPr>
        <w:pStyle w:val="Normal"/>
        <w:jc w:val="center"/>
        <w:rPr>
          <w:b/>
          <w:sz w:val="22"/>
        </w:rPr>
      </w:pPr>
      <w:r>
        <w:rPr>
          <w:b/>
          <w:sz w:val="22"/>
        </w:rPr>
        <w:t>OPTION PREMIUM</w:t>
      </w:r>
    </w:p>
    <w:p>
      <w:pPr>
        <w:pStyle w:val="Normal"/>
        <w:rPr>
          <w:b/>
          <w:sz w:val="22"/>
        </w:rPr>
      </w:pPr>
      <w:r>
        <w:rPr>
          <w:b/>
          <w:sz w:val="22"/>
        </w:rPr>
      </w:r>
    </w:p>
    <w:p>
      <w:pPr>
        <w:sectPr>
          <w:footerReference w:type="default" r:id="rId10"/>
          <w:footerReference w:type="first" r:id="rId11"/>
          <w:type w:val="nextPage"/>
          <w:pgSz w:w="12240" w:h="15840"/>
          <w:pgMar w:left="1008" w:right="1800" w:gutter="0" w:header="0" w:top="1440" w:footer="720" w:bottom="1440"/>
          <w:pgNumType w:fmt="decimal"/>
          <w:formProt w:val="false"/>
          <w:textDirection w:val="lrTb"/>
          <w:docGrid w:type="default" w:linePitch="360" w:charSpace="0"/>
        </w:sectPr>
      </w:pPr>
    </w:p>
    <w:tbl>
      <w:tblPr>
        <w:tblW w:w="3820" w:type="dxa"/>
        <w:jc w:val="start"/>
        <w:tblInd w:w="0" w:type="dxa"/>
        <w:tblLayout w:type="fixed"/>
        <w:tblCellMar>
          <w:top w:w="0" w:type="dxa"/>
          <w:start w:w="30" w:type="dxa"/>
          <w:bottom w:w="0" w:type="dxa"/>
          <w:end w:w="30" w:type="dxa"/>
        </w:tblCellMar>
      </w:tblPr>
      <w:tblGrid>
        <w:gridCol w:w="1200"/>
        <w:gridCol w:w="2620"/>
      </w:tblGrid>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center"/>
              <w:rPr>
                <w:rFonts w:ascii="Arial" w:hAnsi="Arial" w:cs="Arial"/>
                <w:color w:val="000000"/>
                <w:lang w:eastAsia="en-US"/>
              </w:rPr>
            </w:pPr>
            <w:r>
              <w:rPr>
                <w:rFonts w:cs="Arial" w:ascii="Arial" w:hAnsi="Arial"/>
                <w:color w:val="000000"/>
                <w:lang w:eastAsia="en-US"/>
              </w:rPr>
              <w:t>Monthly Option Premium</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09/01/00</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10/01/00</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11/01/00</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12/01/00</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01/01/01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04/01/01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05/01/01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06/01/01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07/01/01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08/01/01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09/01/01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11/01/01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12/01/01</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01/01/02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04/01/02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05/01/02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06/01/02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07/01/02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08/01/02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center"/>
              <w:rPr>
                <w:rFonts w:ascii="Arial" w:hAnsi="Arial" w:cs="Arial"/>
                <w:color w:val="000000"/>
                <w:lang w:eastAsia="en-US"/>
              </w:rPr>
            </w:pPr>
            <w:r>
              <w:rPr>
                <w:rFonts w:cs="Arial" w:ascii="Arial" w:hAnsi="Arial"/>
                <w:color w:val="000000"/>
                <w:lang w:eastAsia="en-US"/>
              </w:rPr>
              <w:t>Monthly Option Premium</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09/01/02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11/01/02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12/01/02</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01/01/03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04/01/03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05/01/03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06/01/03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07/01/03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08/01/03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09/01/03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11/01/03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12/01/03</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01/01/04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04/01/04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05/01/04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06/01/04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07/01/04</w:t>
            </w:r>
          </w:p>
        </w:tc>
        <w:tc>
          <w:tcPr>
            <w:tcW w:w="2620" w:type="dxa"/>
            <w:tcBorders>
              <w:top w:val="single" w:sz="2" w:space="0" w:color="000000"/>
              <w:start w:val="single" w:sz="2" w:space="0" w:color="000000"/>
              <w:bottom w:val="single" w:sz="2"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2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08/01/04</w:t>
            </w:r>
          </w:p>
        </w:tc>
        <w:tc>
          <w:tcPr>
            <w:tcW w:w="2620" w:type="dxa"/>
            <w:tcBorders>
              <w:top w:val="single" w:sz="2" w:space="0" w:color="000000"/>
              <w:start w:val="single" w:sz="2" w:space="0" w:color="000000"/>
              <w:bottom w:val="single" w:sz="6" w:space="0" w:color="000000"/>
              <w:end w:val="single" w:sz="2" w:space="0" w:color="000000"/>
            </w:tcBorders>
          </w:tcPr>
          <w:p>
            <w:pPr>
              <w:pStyle w:val="Normal"/>
              <w:ind w:end="160"/>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bl>
    <w:p>
      <w:pPr>
        <w:sectPr>
          <w:type w:val="continuous"/>
          <w:pgSz w:w="12240" w:h="15840"/>
          <w:pgMar w:left="1008" w:right="1800" w:gutter="0" w:header="0" w:top="1440" w:footer="720" w:bottom="1440"/>
          <w:cols w:num="2" w:space="708" w:equalWidth="true" w:sep="false"/>
          <w:formProt w:val="false"/>
          <w:textDirection w:val="lrTb"/>
          <w:docGrid w:type="default" w:linePitch="360" w:charSpace="0"/>
        </w:sectPr>
      </w:pP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type w:val="continuous"/>
          <w:pgSz w:w="12240" w:h="15840"/>
          <w:pgMar w:left="1008" w:right="1800" w:gutter="0" w:header="0" w:top="1440" w:footer="720" w:bottom="1440"/>
          <w:formProt w:val="false"/>
          <w:textDirection w:val="lrTb"/>
          <w:docGrid w:type="default" w:linePitch="360" w:charSpace="0"/>
        </w:sectPr>
      </w:pPr>
    </w:p>
    <w:p>
      <w:pPr>
        <w:pStyle w:val="Normal"/>
        <w:jc w:val="center"/>
        <w:rPr>
          <w:b/>
          <w:sz w:val="22"/>
        </w:rPr>
      </w:pPr>
      <w:r>
        <w:rPr>
          <w:b/>
          <w:sz w:val="22"/>
        </w:rPr>
        <w:t>EXHIBIT "E"</w:t>
      </w:r>
    </w:p>
    <w:p>
      <w:pPr>
        <w:pStyle w:val="Normal"/>
        <w:jc w:val="center"/>
        <w:rPr>
          <w:b/>
          <w:sz w:val="22"/>
        </w:rPr>
      </w:pPr>
      <w:r>
        <w:rPr>
          <w:b/>
          <w:sz w:val="22"/>
        </w:rPr>
      </w:r>
    </w:p>
    <w:p>
      <w:pPr>
        <w:pStyle w:val="Normal"/>
        <w:jc w:val="center"/>
        <w:rPr>
          <w:b/>
          <w:sz w:val="22"/>
        </w:rPr>
      </w:pPr>
      <w:r>
        <w:rPr>
          <w:b/>
          <w:sz w:val="22"/>
        </w:rPr>
        <w:t>COVER REMEDIES FOR BUYER AND SELLER</w:t>
      </w:r>
    </w:p>
    <w:p>
      <w:pPr>
        <w:pStyle w:val="Index1"/>
        <w:rPr>
          <w:b/>
          <w:sz w:val="22"/>
        </w:rPr>
      </w:pPr>
      <w:r>
        <w:rPr>
          <w:b/>
          <w:sz w:val="22"/>
        </w:rPr>
      </w:r>
    </w:p>
    <w:p>
      <w:pPr>
        <w:pStyle w:val="Heading2"/>
        <w:ind w:hanging="0" w:start="0"/>
        <w:jc w:val="both"/>
        <w:rPr/>
      </w:pPr>
      <w:r>
        <w:rPr>
          <w:rFonts w:cs="Times New Roman" w:ascii="Times New Roman" w:hAnsi="Times New Roman"/>
          <w:i w:val="false"/>
          <w:sz w:val="22"/>
          <w:u w:val="single"/>
        </w:rPr>
        <w:t>Buyer's Cover Remedy for Seller's Failure to Deliver</w:t>
      </w:r>
      <w:r>
        <w:rPr>
          <w:rFonts w:cs="Times New Roman" w:ascii="Times New Roman" w:hAnsi="Times New Roman"/>
          <w:b w:val="false"/>
          <w:i w:val="false"/>
          <w:sz w:val="22"/>
        </w:rPr>
        <w:t>.  Unless excused in the event of Force Majeure or unless excused by Buyer's failure to perform, if Seller fails to schedule and/or deliver all or part of the Contract Quantity of Energy at a Delivery Point that Seller is required to sell, schedule and deliver to Buyer, Seller shall pay Buyer an amount for each unit of Energy in such deficiency equal to the positive difference, if any, obtained by subtracting the Energy Charge for such Energy from the Replacement Price.  "Replacement Price" for purposes of this Confirmation shall be calculated only as follows:</w:t>
      </w:r>
    </w:p>
    <w:p>
      <w:pPr>
        <w:pStyle w:val="Normal"/>
        <w:jc w:val="both"/>
        <w:rPr>
          <w:sz w:val="22"/>
          <w:u w:val="single"/>
        </w:rPr>
      </w:pPr>
      <w:r>
        <w:rPr>
          <w:sz w:val="22"/>
        </w:rPr>
        <w:tab/>
      </w:r>
    </w:p>
    <w:p>
      <w:pPr>
        <w:pStyle w:val="Normal"/>
        <w:tabs>
          <w:tab w:val="clear" w:pos="720"/>
          <w:tab w:val="left" w:pos="3960" w:leader="none"/>
          <w:tab w:val="left" w:pos="4230" w:leader="none"/>
        </w:tabs>
        <w:ind w:hanging="2520" w:start="3240" w:end="0"/>
        <w:jc w:val="both"/>
        <w:rPr/>
      </w:pPr>
      <w:r>
        <w:rPr>
          <w:sz w:val="22"/>
        </w:rPr>
        <w:t>Gleason Delivery Point:</w:t>
        <w:tab/>
        <w:t xml:space="preserve">The price for Electricity (per MWh) as listed in the Market Report section opposite the caption "TVA,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the Delivery Term.</w:t>
      </w:r>
    </w:p>
    <w:p>
      <w:pPr>
        <w:pStyle w:val="Normal"/>
        <w:tabs>
          <w:tab w:val="clear" w:pos="720"/>
          <w:tab w:val="left" w:pos="3960" w:leader="none"/>
          <w:tab w:val="left" w:pos="4230" w:leader="none"/>
        </w:tabs>
        <w:ind w:hanging="2520" w:start="3240" w:end="0"/>
        <w:jc w:val="both"/>
        <w:rPr>
          <w:sz w:val="22"/>
        </w:rPr>
      </w:pPr>
      <w:r>
        <w:rPr>
          <w:sz w:val="22"/>
        </w:rPr>
      </w:r>
    </w:p>
    <w:p>
      <w:pPr>
        <w:pStyle w:val="Normal"/>
        <w:tabs>
          <w:tab w:val="clear" w:pos="720"/>
          <w:tab w:val="left" w:pos="3960" w:leader="none"/>
          <w:tab w:val="left" w:pos="4230" w:leader="none"/>
        </w:tabs>
        <w:ind w:hanging="2520" w:start="3240" w:end="0"/>
        <w:jc w:val="both"/>
        <w:rPr/>
      </w:pPr>
      <w:r>
        <w:rPr>
          <w:sz w:val="22"/>
        </w:rPr>
        <w:t>Lincoln Delivery Point:</w:t>
        <w:tab/>
        <w:t xml:space="preserve">The price for Electricity (per MWh) as listed in the Market Report section opposite the caption "Com Ed Border"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the Delivery Term.</w:t>
      </w:r>
    </w:p>
    <w:p>
      <w:pPr>
        <w:pStyle w:val="Normal"/>
        <w:tabs>
          <w:tab w:val="clear" w:pos="720"/>
          <w:tab w:val="left" w:pos="3960" w:leader="none"/>
          <w:tab w:val="left" w:pos="4230" w:leader="none"/>
        </w:tabs>
        <w:ind w:hanging="2520" w:start="3240" w:end="0"/>
        <w:jc w:val="both"/>
        <w:rPr>
          <w:sz w:val="22"/>
        </w:rPr>
      </w:pPr>
      <w:r>
        <w:rPr>
          <w:sz w:val="22"/>
        </w:rPr>
      </w:r>
    </w:p>
    <w:p>
      <w:pPr>
        <w:pStyle w:val="Normal"/>
        <w:tabs>
          <w:tab w:val="clear" w:pos="720"/>
          <w:tab w:val="left" w:pos="3960" w:leader="none"/>
          <w:tab w:val="left" w:pos="4230" w:leader="none"/>
        </w:tabs>
        <w:ind w:hanging="2520" w:start="3240" w:end="0"/>
        <w:jc w:val="both"/>
        <w:rPr/>
      </w:pPr>
      <w:r>
        <w:rPr>
          <w:sz w:val="22"/>
        </w:rPr>
        <w:t>Wheatland Delivery Point:</w:t>
        <w:tab/>
        <w:t xml:space="preserve">The price for Electricity (per MWh) as listed in the Market Report section opposite the caption "Cinergy,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the Delivery Term.</w:t>
      </w:r>
    </w:p>
    <w:p>
      <w:pPr>
        <w:pStyle w:val="para"/>
        <w:jc w:val="both"/>
        <w:rPr>
          <w:sz w:val="22"/>
        </w:rPr>
      </w:pPr>
      <w:r>
        <w:rPr>
          <w:sz w:val="22"/>
        </w:rPr>
      </w:r>
    </w:p>
    <w:p>
      <w:pPr>
        <w:pStyle w:val="Normal"/>
        <w:jc w:val="both"/>
        <w:rPr/>
      </w:pPr>
      <w:r>
        <w:rPr>
          <w:b/>
          <w:sz w:val="22"/>
          <w:u w:val="single"/>
        </w:rPr>
        <w:t>Seller's Cover Remedy for Buyer's Failure to Receive</w:t>
      </w:r>
      <w:r>
        <w:rPr>
          <w:sz w:val="22"/>
        </w:rPr>
        <w:t xml:space="preserve">.  Unless excused in the event of Force Majeure or unless excused by Seller's failure to perform, if Buyer fails to schedule and/or receive any amounts of the Contract Quantity of Energy at a Delivery Point that Buyer is required to purchase, schedule and receive, Buyer shall pay Seller an amount for each unit of Energy in such deficiency equal to the positive difference, if any, obtained by subtracting the Sales Price (as defined in the Master Agreement) from the Energy Charge.  </w:t>
      </w:r>
    </w:p>
    <w:p>
      <w:pPr>
        <w:pStyle w:val="Normal"/>
        <w:jc w:val="both"/>
        <w:rPr>
          <w:sz w:val="22"/>
        </w:rPr>
      </w:pPr>
      <w:r>
        <w:rPr>
          <w:sz w:val="22"/>
        </w:rPr>
      </w:r>
    </w:p>
    <w:p>
      <w:pPr>
        <w:pStyle w:val="Normal"/>
        <w:jc w:val="both"/>
        <w:rPr>
          <w:sz w:val="22"/>
        </w:rPr>
      </w:pPr>
      <w:r>
        <w:rPr>
          <w:sz w:val="22"/>
        </w:rPr>
      </w:r>
    </w:p>
    <w:sectPr>
      <w:footerReference w:type="default" r:id="rId12"/>
      <w:type w:val="nextPage"/>
      <w:pgSz w:w="12240" w:h="15840"/>
      <w:pgMar w:left="1008"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/mnt/main-storage/datasets/enron-docs/doc/Merrill_Physical_Confirm_1.doc</w:t>
    </w:r>
    <w:r>
      <w:rPr>
        <w:sz w:val="12"/>
        <w:lang w:eastAsia="en-US"/>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/mnt/main-storage/datasets/enron-docs/doc/Merrill_Physical_Confirm_1.doc</w:t>
    </w:r>
    <w:r>
      <w:rPr>
        <w:sz w:val="12"/>
        <w:lang w:eastAsia="en-US"/>
      </w:rPr>
      <w:fldChar w:fldCharType="end"/>
    </w:r>
    <w:r>
      <w:rPr>
        <w:sz w:val="12"/>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tabs>
        <w:tab w:val="clear" w:pos="720"/>
        <w:tab w:val="left" w:pos="5292" w:leader="none"/>
      </w:tabs>
      <w:spacing w:before="120" w:after="0"/>
      <w:jc w:val="both"/>
      <w:outlineLvl w:val="3"/>
    </w:pPr>
    <w:rPr>
      <w:sz w:val="22"/>
      <w:u w:val="single"/>
    </w:rPr>
  </w:style>
  <w:style w:type="paragraph" w:styleId="Heading5">
    <w:name w:val="heading 5"/>
    <w:basedOn w:val="Normal"/>
    <w:next w:val="Normal"/>
    <w:qFormat/>
    <w:pPr>
      <w:keepNext w:val="true"/>
      <w:numPr>
        <w:ilvl w:val="4"/>
        <w:numId w:val="1"/>
      </w:numPr>
      <w:spacing w:before="240" w:after="0"/>
      <w:jc w:val="center"/>
      <w:outlineLvl w:val="4"/>
    </w:pPr>
    <w:rPr>
      <w:b/>
      <w:sz w:val="22"/>
    </w:rPr>
  </w:style>
  <w:style w:type="paragraph" w:styleId="Heading6">
    <w:name w:val="heading 6"/>
    <w:basedOn w:val="Normal"/>
    <w:next w:val="Normal"/>
    <w:qFormat/>
    <w:pPr>
      <w:keepNext w:val="true"/>
      <w:numPr>
        <w:ilvl w:val="5"/>
        <w:numId w:val="1"/>
      </w:numPr>
      <w:tabs>
        <w:tab w:val="clear" w:pos="720"/>
        <w:tab w:val="left" w:pos="5292" w:leader="none"/>
      </w:tabs>
      <w:spacing w:before="120" w:after="0"/>
      <w:jc w:val="both"/>
      <w:outlineLvl w:val="5"/>
    </w:pPr>
    <w:rPr>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rFonts w:ascii="Times New Roman" w:hAnsi="Times New Roman" w:cs="Times New Roman"/>
      <w:b w:val="false"/>
      <w:i w:val="false"/>
    </w:rPr>
  </w:style>
  <w:style w:type="character" w:styleId="WW8Num8z0">
    <w:name w:val="WW8Num8z0"/>
    <w:qFormat/>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style>
  <w:style w:type="character" w:styleId="WW8Num19z0">
    <w:name w:val="WW8Num19z0"/>
    <w:qFormat/>
    <w:rPr>
      <w:rFonts w:ascii="Times New Roman" w:hAnsi="Times New Roman" w:cs="Times New Roman"/>
      <w:b w:val="false"/>
      <w:i w:val="false"/>
      <w:sz w:val="20"/>
      <w:u w:val="none"/>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style>
  <w:style w:type="character" w:styleId="WW8Num24z0">
    <w:name w:val="WW8Num24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z w:val="20"/>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rFonts w:ascii="Times New Roman" w:hAnsi="Times New Roman" w:cs="Times New Roman"/>
      <w:b/>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rFonts w:ascii="Times New Roman" w:hAnsi="Times New Roman" w:cs="Times New Roman"/>
      <w:b w:val="false"/>
      <w:i w:val="false"/>
      <w:sz w:val="20"/>
      <w:u w:val="none"/>
    </w:rPr>
  </w:style>
  <w:style w:type="character" w:styleId="WW8Num49z0">
    <w:name w:val="WW8Num49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Justified">
    <w:name w:val="Justified"/>
    <w:basedOn w:val="Normal"/>
    <w:next w:val="Heading2"/>
    <w:qFormat/>
    <w:pPr>
      <w:spacing w:before="0" w:after="120"/>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120" w:after="0"/>
      <w:ind w:firstLine="720" w:start="0" w:end="0"/>
      <w:jc w:val="both"/>
    </w:pPr>
    <w:rPr>
      <w:sz w:val="22"/>
      <w:lang w:eastAsia="en-US"/>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BodyTextIndent2">
    <w:name w:val="Body Text Indent 2"/>
    <w:basedOn w:val="Normal"/>
    <w:qFormat/>
    <w:pPr>
      <w:ind w:hanging="0" w:start="522"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jc w:val="both"/>
    </w:pPr>
    <w:rPr>
      <w:sz w:val="22"/>
    </w:rPr>
  </w:style>
  <w:style w:type="paragraph" w:styleId="BlockText">
    <w:name w:val="Block Text"/>
    <w:basedOn w:val="Normal"/>
    <w:qFormat/>
    <w:pPr>
      <w:ind w:hanging="0" w:start="1440" w:end="720"/>
      <w:jc w:val="both"/>
    </w:pPr>
    <w:rPr>
      <w:sz w:val="22"/>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1999-12-29T15:09:00Z</dcterms:created>
  <dc:creator>szisman</dc:creator>
  <dc:description/>
  <dc:language>en-CA</dc:language>
  <cp:lastModifiedBy>Brenda Whitehead</cp:lastModifiedBy>
  <cp:lastPrinted>1999-12-29T14:36:00Z</cp:lastPrinted>
  <dcterms:modified xsi:type="dcterms:W3CDTF">1999-12-29T18:07:00Z</dcterms:modified>
  <cp:revision>3</cp:revision>
  <dc:subject/>
  <dc:title>[DATE]</dc:title>
</cp:coreProperties>
</file>