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jc w:val="both"/>
        <w:rPr>
          <w:sz w:val="22"/>
        </w:rPr>
      </w:pPr>
      <w:r>
        <w:rPr>
          <w:sz w:val="22"/>
        </w:rPr>
      </w:r>
    </w:p>
    <w:p>
      <w:pPr>
        <w:pStyle w:val="Normal"/>
        <w:jc w:val="both"/>
        <w:rPr>
          <w:sz w:val="22"/>
        </w:rPr>
      </w:pPr>
      <w:r>
        <w:rPr>
          <w:sz w:val="22"/>
        </w:rPr>
      </w:r>
    </w:p>
    <w:p>
      <w:pPr>
        <w:pStyle w:val="Normal"/>
        <w:jc w:val="both"/>
        <w:rPr>
          <w:sz w:val="22"/>
        </w:rPr>
      </w:pPr>
      <w:r>
        <w:rPr>
          <w:sz w:val="22"/>
        </w:rPr>
        <w:t>December 27, 1999</w:t>
      </w:r>
    </w:p>
    <w:p>
      <w:pPr>
        <w:pStyle w:val="Normal"/>
        <w:jc w:val="both"/>
        <w:rPr>
          <w:b/>
          <w:sz w:val="22"/>
        </w:rPr>
      </w:pPr>
      <w:r>
        <w:rPr>
          <w:b/>
          <w:sz w:val="22"/>
        </w:rPr>
      </w:r>
    </w:p>
    <w:p>
      <w:pPr>
        <w:pStyle w:val="Normal"/>
        <w:jc w:val="both"/>
        <w:rPr>
          <w:b/>
          <w:sz w:val="22"/>
        </w:rPr>
      </w:pPr>
      <w:r>
        <w:rPr>
          <w:b/>
          <w:sz w:val="22"/>
        </w:rPr>
      </w:r>
    </w:p>
    <w:tbl>
      <w:tblPr>
        <w:tblW w:w="5148" w:type="dxa"/>
        <w:jc w:val="start"/>
        <w:tblInd w:w="0" w:type="dxa"/>
        <w:tblLayout w:type="fixed"/>
        <w:tblCellMar>
          <w:top w:w="0" w:type="dxa"/>
          <w:start w:w="108" w:type="dxa"/>
          <w:bottom w:w="0" w:type="dxa"/>
          <w:end w:w="108" w:type="dxa"/>
        </w:tblCellMar>
      </w:tblPr>
      <w:tblGrid>
        <w:gridCol w:w="5148"/>
      </w:tblGrid>
      <w:tr>
        <w:trPr/>
        <w:tc>
          <w:tcPr>
            <w:tcW w:w="5148" w:type="dxa"/>
            <w:tcBorders/>
          </w:tcPr>
          <w:p>
            <w:pPr>
              <w:pStyle w:val="Normal"/>
              <w:keepLines/>
              <w:tabs>
                <w:tab w:val="clear" w:pos="720"/>
                <w:tab w:val="left" w:pos="1350" w:leader="none"/>
                <w:tab w:val="left" w:pos="4320" w:leader="none"/>
              </w:tabs>
              <w:jc w:val="both"/>
              <w:rPr>
                <w:sz w:val="22"/>
              </w:rPr>
            </w:pPr>
            <w:r>
              <w:rPr>
                <w:sz w:val="22"/>
              </w:rPr>
              <w:t>Merrill Lynch Capital Services, Inc.</w:t>
            </w:r>
          </w:p>
        </w:tc>
      </w:tr>
      <w:tr>
        <w:trPr/>
        <w:tc>
          <w:tcPr>
            <w:tcW w:w="5148" w:type="dxa"/>
            <w:tcBorders/>
          </w:tcPr>
          <w:p>
            <w:pPr>
              <w:pStyle w:val="Normal"/>
              <w:keepLines/>
              <w:tabs>
                <w:tab w:val="clear" w:pos="720"/>
                <w:tab w:val="left" w:pos="1350" w:leader="none"/>
                <w:tab w:val="left" w:pos="4320" w:leader="none"/>
              </w:tabs>
              <w:jc w:val="both"/>
              <w:rPr/>
            </w:pPr>
            <w:r>
              <w:rPr>
                <w:sz w:val="22"/>
              </w:rPr>
              <w:t>World Financial Center North Tower, 7</w:t>
            </w:r>
            <w:r>
              <w:rPr>
                <w:sz w:val="22"/>
                <w:vertAlign w:val="superscript"/>
              </w:rPr>
              <w:t>th</w:t>
            </w:r>
            <w:r>
              <w:rPr>
                <w:sz w:val="22"/>
              </w:rPr>
              <w:t xml:space="preserve"> Floor</w:t>
            </w:r>
          </w:p>
        </w:tc>
      </w:tr>
      <w:tr>
        <w:trPr/>
        <w:tc>
          <w:tcPr>
            <w:tcW w:w="5148" w:type="dxa"/>
            <w:tcBorders/>
          </w:tcPr>
          <w:p>
            <w:pPr>
              <w:pStyle w:val="Normal"/>
              <w:keepLines/>
              <w:tabs>
                <w:tab w:val="clear" w:pos="720"/>
                <w:tab w:val="left" w:pos="1350" w:leader="none"/>
                <w:tab w:val="left" w:pos="4320" w:leader="none"/>
              </w:tabs>
              <w:jc w:val="both"/>
              <w:rPr>
                <w:sz w:val="22"/>
              </w:rPr>
            </w:pPr>
            <w:r>
              <w:rPr>
                <w:sz w:val="22"/>
              </w:rPr>
              <w:t>New York, New York  10281-1307</w:t>
            </w:r>
          </w:p>
        </w:tc>
      </w:tr>
      <w:tr>
        <w:trPr/>
        <w:tc>
          <w:tcPr>
            <w:tcW w:w="5148" w:type="dxa"/>
            <w:tcBorders/>
          </w:tcPr>
          <w:p>
            <w:pPr>
              <w:pStyle w:val="Normal"/>
              <w:keepLines/>
              <w:tabs>
                <w:tab w:val="clear" w:pos="720"/>
                <w:tab w:val="left" w:pos="1350" w:leader="none"/>
                <w:tab w:val="left" w:pos="4320" w:leader="none"/>
              </w:tabs>
              <w:jc w:val="both"/>
              <w:rPr>
                <w:sz w:val="22"/>
              </w:rPr>
            </w:pPr>
            <w:r>
              <w:rPr>
                <w:sz w:val="22"/>
              </w:rPr>
              <w:t>Attn.:  Dan Gordon</w:t>
            </w:r>
          </w:p>
        </w:tc>
      </w:tr>
    </w:tbl>
    <w:p>
      <w:pPr>
        <w:pStyle w:val="Normal"/>
        <w:jc w:val="both"/>
        <w:rPr>
          <w:sz w:val="22"/>
        </w:rPr>
      </w:pPr>
      <w:r>
        <w:rPr>
          <w:sz w:val="22"/>
        </w:rPr>
      </w:r>
    </w:p>
    <w:p>
      <w:pPr>
        <w:pStyle w:val="Normal"/>
        <w:spacing w:before="240" w:after="240"/>
        <w:jc w:val="center"/>
        <w:rPr>
          <w:b/>
          <w:sz w:val="22"/>
        </w:rPr>
      </w:pPr>
      <w:r>
        <w:rPr>
          <w:b/>
          <w:sz w:val="22"/>
        </w:rPr>
        <w:t>CONFIRMATION LETTER</w:t>
      </w:r>
    </w:p>
    <w:p>
      <w:pPr>
        <w:pStyle w:val="Normal"/>
        <w:jc w:val="both"/>
        <w:rPr>
          <w:sz w:val="22"/>
        </w:rPr>
      </w:pPr>
      <w:r>
        <w:rPr>
          <w:sz w:val="22"/>
        </w:rPr>
        <w:tab/>
        <w:t>This letter shall confirm the agreement reached on December ___, 1999 between Merrill Lynch Capital Services, Inc. ("Counterparty") and Enron Power Marketing, Inc. ("EPMI") regarding the sale/purchase of Energy under the terms and conditions as follows:</w:t>
      </w:r>
    </w:p>
    <w:p>
      <w:pPr>
        <w:pStyle w:val="Normal"/>
        <w:jc w:val="both"/>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4518"/>
        <w:gridCol w:w="5850"/>
      </w:tblGrid>
      <w:tr>
        <w:trPr/>
        <w:tc>
          <w:tcPr>
            <w:tcW w:w="4518" w:type="dxa"/>
            <w:tcBorders/>
          </w:tcPr>
          <w:p>
            <w:pPr>
              <w:pStyle w:val="Normal"/>
              <w:jc w:val="both"/>
              <w:rPr>
                <w:sz w:val="22"/>
              </w:rPr>
            </w:pPr>
            <w:r>
              <w:rPr>
                <w:sz w:val="22"/>
              </w:rPr>
              <w:t>SELLER:</w:t>
            </w:r>
          </w:p>
        </w:tc>
        <w:tc>
          <w:tcPr>
            <w:tcW w:w="5850" w:type="dxa"/>
            <w:tcBorders/>
          </w:tcPr>
          <w:p>
            <w:pPr>
              <w:pStyle w:val="Normal"/>
              <w:tabs>
                <w:tab w:val="clear" w:pos="720"/>
                <w:tab w:val="left" w:pos="5292" w:leader="none"/>
              </w:tabs>
              <w:jc w:val="both"/>
              <w:rPr>
                <w:sz w:val="22"/>
                <w:u w:val="single"/>
              </w:rPr>
            </w:pPr>
            <w:r>
              <w:rPr>
                <w:sz w:val="22"/>
                <w:u w:val="single"/>
              </w:rPr>
              <w:t>EPMI</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2"/>
                <w:u w:val="single"/>
              </w:rPr>
            </w:pPr>
            <w:r>
              <w:rPr>
                <w:sz w:val="22"/>
                <w:u w:val="single"/>
              </w:rPr>
            </w:r>
          </w:p>
        </w:tc>
      </w:tr>
      <w:tr>
        <w:trPr/>
        <w:tc>
          <w:tcPr>
            <w:tcW w:w="4518" w:type="dxa"/>
            <w:tcBorders/>
          </w:tcPr>
          <w:p>
            <w:pPr>
              <w:pStyle w:val="Normal"/>
              <w:jc w:val="both"/>
              <w:rPr>
                <w:sz w:val="22"/>
              </w:rPr>
            </w:pPr>
            <w:r>
              <w:rPr>
                <w:sz w:val="22"/>
              </w:rPr>
              <w:t>BUYER:</w:t>
            </w:r>
          </w:p>
        </w:tc>
        <w:tc>
          <w:tcPr>
            <w:tcW w:w="5850" w:type="dxa"/>
            <w:tcBorders/>
          </w:tcPr>
          <w:p>
            <w:pPr>
              <w:pStyle w:val="Normal"/>
              <w:tabs>
                <w:tab w:val="clear" w:pos="720"/>
                <w:tab w:val="left" w:pos="5292" w:leader="none"/>
              </w:tabs>
              <w:jc w:val="both"/>
              <w:rPr>
                <w:sz w:val="22"/>
                <w:u w:val="single"/>
              </w:rPr>
            </w:pPr>
            <w:r>
              <w:rPr>
                <w:sz w:val="22"/>
                <w:u w:val="single"/>
              </w:rPr>
              <w:t>Counterparty</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2"/>
                <w:u w:val="single"/>
              </w:rPr>
            </w:pPr>
            <w:r>
              <w:rPr>
                <w:sz w:val="22"/>
                <w:u w:val="single"/>
              </w:rPr>
            </w:r>
          </w:p>
        </w:tc>
      </w:tr>
      <w:tr>
        <w:trPr/>
        <w:tc>
          <w:tcPr>
            <w:tcW w:w="4518" w:type="dxa"/>
            <w:tcBorders/>
          </w:tcPr>
          <w:p>
            <w:pPr>
              <w:pStyle w:val="Normal"/>
              <w:jc w:val="both"/>
              <w:rPr>
                <w:sz w:val="22"/>
              </w:rPr>
            </w:pPr>
            <w:r>
              <w:rPr>
                <w:sz w:val="22"/>
              </w:rPr>
              <w:t>COMMODITY:</w:t>
            </w:r>
          </w:p>
        </w:tc>
        <w:tc>
          <w:tcPr>
            <w:tcW w:w="5850" w:type="dxa"/>
            <w:tcBorders/>
          </w:tcPr>
          <w:p>
            <w:pPr>
              <w:pStyle w:val="Normal"/>
              <w:tabs>
                <w:tab w:val="clear" w:pos="720"/>
                <w:tab w:val="left" w:pos="5292" w:leader="none"/>
              </w:tabs>
              <w:jc w:val="both"/>
              <w:rPr>
                <w:sz w:val="22"/>
                <w:u w:val="single"/>
              </w:rPr>
            </w:pPr>
            <w:r>
              <w:rPr>
                <w:sz w:val="22"/>
                <w:u w:val="single"/>
              </w:rPr>
              <w:t>[????] NEED TO ASK ELIZABETH WHAT THIS IS TYPICALLY USED FOR</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2"/>
                <w:u w:val="single"/>
              </w:rPr>
            </w:pPr>
            <w:r>
              <w:rPr>
                <w:sz w:val="22"/>
                <w:u w:val="single"/>
              </w:rPr>
            </w:r>
          </w:p>
        </w:tc>
      </w:tr>
      <w:tr>
        <w:trPr/>
        <w:tc>
          <w:tcPr>
            <w:tcW w:w="4518" w:type="dxa"/>
            <w:tcBorders/>
          </w:tcPr>
          <w:p>
            <w:pPr>
              <w:pStyle w:val="Normal"/>
              <w:jc w:val="both"/>
              <w:rPr>
                <w:sz w:val="22"/>
              </w:rPr>
            </w:pPr>
            <w:r>
              <w:rPr>
                <w:sz w:val="22"/>
              </w:rPr>
              <w:t>ENERGY:</w:t>
            </w:r>
          </w:p>
        </w:tc>
        <w:tc>
          <w:tcPr>
            <w:tcW w:w="5850" w:type="dxa"/>
            <w:tcBorders/>
          </w:tcPr>
          <w:p>
            <w:pPr>
              <w:pStyle w:val="Normal"/>
              <w:tabs>
                <w:tab w:val="clear" w:pos="720"/>
                <w:tab w:val="left" w:pos="5292" w:leader="none"/>
              </w:tabs>
              <w:jc w:val="both"/>
              <w:rPr>
                <w:sz w:val="22"/>
                <w:u w:val="single"/>
              </w:rPr>
            </w:pPr>
            <w:r>
              <w:rPr>
                <w:sz w:val="22"/>
                <w:u w:val="single"/>
              </w:rPr>
              <w:t>[????] NEED TO ASK ELIZABETH WHAT THIS IS TYPICALLY USED FOR</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2"/>
                <w:u w:val="single"/>
              </w:rPr>
            </w:pPr>
            <w:r>
              <w:rPr>
                <w:sz w:val="22"/>
                <w:u w:val="single"/>
              </w:rPr>
            </w:r>
          </w:p>
        </w:tc>
      </w:tr>
      <w:tr>
        <w:trPr/>
        <w:tc>
          <w:tcPr>
            <w:tcW w:w="4518" w:type="dxa"/>
            <w:tcBorders/>
          </w:tcPr>
          <w:p>
            <w:pPr>
              <w:pStyle w:val="Normal"/>
              <w:jc w:val="both"/>
              <w:rPr>
                <w:sz w:val="22"/>
              </w:rPr>
            </w:pPr>
            <w:r>
              <w:rPr>
                <w:sz w:val="22"/>
              </w:rPr>
              <w:t>OTHER (e.g., Capacity):</w:t>
            </w:r>
          </w:p>
        </w:tc>
        <w:tc>
          <w:tcPr>
            <w:tcW w:w="5850" w:type="dxa"/>
            <w:tcBorders/>
          </w:tcPr>
          <w:p>
            <w:pPr>
              <w:pStyle w:val="Normal"/>
              <w:tabs>
                <w:tab w:val="clear" w:pos="720"/>
                <w:tab w:val="left" w:pos="5292" w:leader="none"/>
              </w:tabs>
              <w:jc w:val="both"/>
              <w:rPr>
                <w:sz w:val="22"/>
                <w:u w:val="single"/>
              </w:rPr>
            </w:pPr>
            <w:r>
              <w:rPr>
                <w:sz w:val="22"/>
                <w:u w:val="single"/>
              </w:rPr>
              <w:t>[????] NEED TO ASK ELIZABETH WHAT THIS IS TYPICALLY USED FOR</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2"/>
                <w:u w:val="single"/>
              </w:rPr>
            </w:pPr>
            <w:r>
              <w:rPr>
                <w:sz w:val="22"/>
                <w:u w:val="single"/>
              </w:rPr>
            </w:r>
          </w:p>
        </w:tc>
      </w:tr>
      <w:tr>
        <w:trPr/>
        <w:tc>
          <w:tcPr>
            <w:tcW w:w="4518" w:type="dxa"/>
            <w:tcBorders/>
          </w:tcPr>
          <w:p>
            <w:pPr>
              <w:pStyle w:val="Normal"/>
              <w:jc w:val="both"/>
              <w:rPr>
                <w:sz w:val="22"/>
              </w:rPr>
            </w:pPr>
            <w:r>
              <w:rPr>
                <w:sz w:val="22"/>
              </w:rPr>
              <w:t>CONTRACT QUANTITY:</w:t>
            </w:r>
          </w:p>
        </w:tc>
        <w:tc>
          <w:tcPr>
            <w:tcW w:w="5850" w:type="dxa"/>
            <w:tcBorders/>
          </w:tcPr>
          <w:p>
            <w:pPr>
              <w:pStyle w:val="Normal"/>
              <w:tabs>
                <w:tab w:val="clear" w:pos="720"/>
                <w:tab w:val="left" w:pos="5292" w:leader="none"/>
              </w:tabs>
              <w:jc w:val="both"/>
              <w:rPr>
                <w:sz w:val="24"/>
              </w:rPr>
            </w:pPr>
            <w:r>
              <w:rPr>
                <w:sz w:val="24"/>
                <w:u w:val="single"/>
              </w:rPr>
              <w:t xml:space="preserve">Subject to the other provisions herein, during the On-Peak Hours (for purposes of this Confirmation, “On-Peak Hours” shall mean HE 0700 Central Prevailing Time to HE 2200 Central Prevailing Time) </w:t>
            </w:r>
            <w:r>
              <w:rPr>
                <w:b/>
                <w:sz w:val="24"/>
                <w:u w:val="single"/>
              </w:rPr>
              <w:t>[ARE WE CERTAIN THAT ALL DELIVERY POINTS WORK ON CENTRAL PREVAILING TIME???]</w:t>
            </w:r>
            <w:r>
              <w:rPr>
                <w:sz w:val="24"/>
                <w:u w:val="single"/>
              </w:rPr>
              <w:t xml:space="preserve"> of each Summer Season (for purposes of this Confirmation, “Summer Season” shall mean the period each Year from April 1 through October 31 (inclusive), excluding North American Electric Reliability Council (such council and any successor entity shall hereinafter be referred to as “NERC”) holidays, Saturdays and Sundays) and Non-Summer Season (for purposes of this Confirmation, “Non-Summer Season” shall mean the period each Year from January 1 through March 31 (inclusive) and from November 1 through December 31 (inclusive), excluding NERC holidays, Saturdays and Sundays) or portion thereof during the Delivery Term, Buyer shall have a Call Option to purchase and receive an amount of Energy up to an hourly cap for each Delivery Point as set forth on Exhibit “A” attached hereto (the “Contract Capacity”).</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4"/>
                <w:u w:val="single"/>
              </w:rPr>
            </w:pPr>
            <w:r>
              <w:rPr>
                <w:sz w:val="24"/>
                <w:u w:val="single"/>
              </w:rPr>
            </w:r>
          </w:p>
        </w:tc>
      </w:tr>
      <w:tr>
        <w:trPr/>
        <w:tc>
          <w:tcPr>
            <w:tcW w:w="4518" w:type="dxa"/>
            <w:tcBorders/>
          </w:tcPr>
          <w:p>
            <w:pPr>
              <w:pStyle w:val="Normal"/>
              <w:jc w:val="both"/>
              <w:rPr>
                <w:sz w:val="22"/>
              </w:rPr>
            </w:pPr>
            <w:r>
              <w:rPr>
                <w:sz w:val="22"/>
              </w:rPr>
              <w:t>DELIVERY POINT:</w:t>
            </w:r>
          </w:p>
        </w:tc>
        <w:tc>
          <w:tcPr>
            <w:tcW w:w="5850" w:type="dxa"/>
            <w:tcBorders/>
          </w:tcPr>
          <w:p>
            <w:pPr>
              <w:pStyle w:val="Normal"/>
              <w:tabs>
                <w:tab w:val="clear" w:pos="720"/>
                <w:tab w:val="left" w:pos="5292" w:leader="none"/>
              </w:tabs>
              <w:jc w:val="both"/>
              <w:rPr>
                <w:sz w:val="24"/>
              </w:rPr>
            </w:pPr>
            <w:r>
              <w:rPr>
                <w:sz w:val="24"/>
                <w:u w:val="single"/>
              </w:rPr>
              <w:t>Those Delivery Points identified on Exhibit “B” attached hereto</w:t>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4"/>
              </w:rPr>
            </w:pPr>
            <w:r>
              <w:rPr>
                <w:sz w:val="24"/>
              </w:rPr>
            </w:r>
          </w:p>
        </w:tc>
      </w:tr>
      <w:tr>
        <w:trPr/>
        <w:tc>
          <w:tcPr>
            <w:tcW w:w="4518" w:type="dxa"/>
            <w:tcBorders/>
          </w:tcPr>
          <w:p>
            <w:pPr>
              <w:pStyle w:val="Normal"/>
              <w:jc w:val="both"/>
              <w:rPr>
                <w:sz w:val="22"/>
              </w:rPr>
            </w:pPr>
            <w:r>
              <w:rPr>
                <w:sz w:val="22"/>
              </w:rPr>
              <w:t>CONTRACT PRICE:</w:t>
            </w:r>
          </w:p>
        </w:tc>
        <w:tc>
          <w:tcPr>
            <w:tcW w:w="5850" w:type="dxa"/>
            <w:tcBorders/>
          </w:tcPr>
          <w:p>
            <w:pPr>
              <w:pStyle w:val="Normal"/>
              <w:tabs>
                <w:tab w:val="clear" w:pos="720"/>
                <w:tab w:val="left" w:pos="5292" w:leader="none"/>
              </w:tabs>
              <w:jc w:val="both"/>
              <w:rPr>
                <w:sz w:val="24"/>
              </w:rPr>
            </w:pPr>
            <w:r>
              <w:rPr>
                <w:sz w:val="24"/>
                <w:u w:val="single"/>
              </w:rPr>
              <w:tab/>
            </w:r>
          </w:p>
        </w:tc>
      </w:tr>
      <w:tr>
        <w:trPr/>
        <w:tc>
          <w:tcPr>
            <w:tcW w:w="4518" w:type="dxa"/>
            <w:tcBorders/>
          </w:tcPr>
          <w:p>
            <w:pPr>
              <w:pStyle w:val="Normal"/>
              <w:ind w:start="540" w:end="0"/>
              <w:jc w:val="both"/>
              <w:rPr>
                <w:caps/>
                <w:sz w:val="22"/>
              </w:rPr>
            </w:pPr>
            <w:r>
              <w:rPr>
                <w:caps/>
                <w:sz w:val="22"/>
              </w:rPr>
              <w:t>ENERGY Price:</w:t>
            </w:r>
          </w:p>
        </w:tc>
        <w:tc>
          <w:tcPr>
            <w:tcW w:w="5850" w:type="dxa"/>
            <w:tcBorders/>
          </w:tcPr>
          <w:p>
            <w:pPr>
              <w:pStyle w:val="Normal"/>
              <w:tabs>
                <w:tab w:val="clear" w:pos="720"/>
                <w:tab w:val="left" w:pos="5292" w:leader="none"/>
              </w:tabs>
              <w:jc w:val="both"/>
              <w:rPr>
                <w:sz w:val="24"/>
              </w:rPr>
            </w:pPr>
            <w:r>
              <w:rPr>
                <w:sz w:val="24"/>
                <w:u w:val="single"/>
              </w:rPr>
              <w:t>Buyer shall pay to Seller each calendar month (“Month”) during the Delivery Term an Energy Charge equal to the sum of the Daily Energy Charges for each of the Delivery Points for each Day (for purposes of this Confirmation, “Day” shall mean</w:t>
            </w:r>
            <w:r>
              <w:rPr>
                <w:sz w:val="24"/>
              </w:rPr>
              <w:t xml:space="preserve"> </w:t>
            </w:r>
            <w:r>
              <w:rPr>
                <w:sz w:val="24"/>
                <w:u w:val="single"/>
              </w:rPr>
              <w:t>the period of twenty four (24) hours from 12:00 midnight through 11:59 p.m. of each calendar day) of the applicable Month which shall be calculated as set forth on Exhibit “C” attached hereto.</w:t>
              <w:tab/>
            </w:r>
          </w:p>
        </w:tc>
      </w:tr>
      <w:tr>
        <w:trPr/>
        <w:tc>
          <w:tcPr>
            <w:tcW w:w="4518" w:type="dxa"/>
            <w:tcBorders/>
          </w:tcPr>
          <w:p>
            <w:pPr>
              <w:pStyle w:val="Normal"/>
              <w:ind w:start="540" w:end="0"/>
              <w:jc w:val="both"/>
              <w:rPr>
                <w:caps/>
                <w:sz w:val="22"/>
              </w:rPr>
            </w:pPr>
            <w:r>
              <w:rPr>
                <w:caps/>
                <w:sz w:val="22"/>
              </w:rPr>
              <w:t>Demand Charges:</w:t>
            </w:r>
          </w:p>
        </w:tc>
        <w:tc>
          <w:tcPr>
            <w:tcW w:w="5850" w:type="dxa"/>
            <w:tcBorders/>
          </w:tcPr>
          <w:p>
            <w:pPr>
              <w:pStyle w:val="Normal"/>
              <w:tabs>
                <w:tab w:val="clear" w:pos="720"/>
                <w:tab w:val="left" w:pos="5292" w:leader="none"/>
              </w:tabs>
              <w:jc w:val="both"/>
              <w:rPr>
                <w:sz w:val="24"/>
              </w:rPr>
            </w:pPr>
            <w:r>
              <w:rPr>
                <w:sz w:val="24"/>
                <w:u w:val="single"/>
              </w:rPr>
              <w:t>A monthly Demand Charge shall be payable to Seller by Buyer at set forth on Exhibit “D” attached hereto.</w:t>
              <w:tab/>
            </w:r>
          </w:p>
        </w:tc>
      </w:tr>
      <w:tr>
        <w:trPr/>
        <w:tc>
          <w:tcPr>
            <w:tcW w:w="4518" w:type="dxa"/>
            <w:tcBorders/>
          </w:tcPr>
          <w:p>
            <w:pPr>
              <w:pStyle w:val="Normal"/>
              <w:ind w:start="540" w:end="0"/>
              <w:jc w:val="both"/>
              <w:rPr>
                <w:caps/>
                <w:sz w:val="22"/>
              </w:rPr>
            </w:pPr>
            <w:r>
              <w:rPr>
                <w:caps/>
                <w:sz w:val="22"/>
              </w:rPr>
              <w:t>Transmission Charges:</w:t>
            </w:r>
          </w:p>
        </w:tc>
        <w:tc>
          <w:tcPr>
            <w:tcW w:w="5850" w:type="dxa"/>
            <w:tcBorders/>
          </w:tcPr>
          <w:p>
            <w:pPr>
              <w:pStyle w:val="Normal"/>
              <w:tabs>
                <w:tab w:val="clear" w:pos="720"/>
                <w:tab w:val="left" w:pos="5292" w:leader="none"/>
              </w:tabs>
              <w:jc w:val="both"/>
              <w:rPr>
                <w:sz w:val="24"/>
              </w:rPr>
            </w:pPr>
            <w:r>
              <w:rPr>
                <w:sz w:val="24"/>
                <w:u w:val="single"/>
              </w:rPr>
              <w:t>N/A [???]</w:t>
            </w:r>
          </w:p>
        </w:tc>
      </w:tr>
      <w:tr>
        <w:trPr/>
        <w:tc>
          <w:tcPr>
            <w:tcW w:w="4518" w:type="dxa"/>
            <w:tcBorders/>
          </w:tcPr>
          <w:p>
            <w:pPr>
              <w:pStyle w:val="Normal"/>
              <w:snapToGrid w:val="false"/>
              <w:jc w:val="both"/>
              <w:rPr>
                <w:sz w:val="22"/>
              </w:rPr>
            </w:pPr>
            <w:r>
              <w:rPr>
                <w:sz w:val="22"/>
              </w:rPr>
            </w:r>
          </w:p>
        </w:tc>
        <w:tc>
          <w:tcPr>
            <w:tcW w:w="5850" w:type="dxa"/>
            <w:tcBorders/>
          </w:tcPr>
          <w:p>
            <w:pPr>
              <w:pStyle w:val="Normal"/>
              <w:tabs>
                <w:tab w:val="clear" w:pos="720"/>
                <w:tab w:val="left" w:pos="5292" w:leader="none"/>
              </w:tabs>
              <w:snapToGrid w:val="false"/>
              <w:jc w:val="both"/>
              <w:rPr>
                <w:sz w:val="24"/>
              </w:rPr>
            </w:pPr>
            <w:r>
              <w:rPr>
                <w:sz w:val="24"/>
              </w:rPr>
            </w:r>
          </w:p>
        </w:tc>
      </w:tr>
      <w:tr>
        <w:trPr/>
        <w:tc>
          <w:tcPr>
            <w:tcW w:w="4518" w:type="dxa"/>
            <w:tcBorders/>
          </w:tcPr>
          <w:p>
            <w:pPr>
              <w:pStyle w:val="Normal"/>
              <w:jc w:val="both"/>
              <w:rPr>
                <w:sz w:val="22"/>
              </w:rPr>
            </w:pPr>
            <w:r>
              <w:rPr>
                <w:sz w:val="22"/>
              </w:rPr>
              <w:t>NATURE OF TRANSACTION:</w:t>
            </w:r>
          </w:p>
        </w:tc>
        <w:tc>
          <w:tcPr>
            <w:tcW w:w="5850" w:type="dxa"/>
            <w:tcBorders/>
          </w:tcPr>
          <w:p>
            <w:pPr>
              <w:pStyle w:val="Normal"/>
              <w:tabs>
                <w:tab w:val="clear" w:pos="720"/>
                <w:tab w:val="left" w:pos="5292" w:leader="none"/>
              </w:tabs>
              <w:jc w:val="both"/>
              <w:rPr>
                <w:sz w:val="24"/>
              </w:rPr>
            </w:pPr>
            <w:r>
              <w:rPr>
                <w:sz w:val="24"/>
                <w:u w:val="single"/>
              </w:rPr>
              <w:t>FIRM</w:t>
              <w:tab/>
            </w:r>
          </w:p>
        </w:tc>
      </w:tr>
      <w:tr>
        <w:trPr/>
        <w:tc>
          <w:tcPr>
            <w:tcW w:w="4518" w:type="dxa"/>
            <w:tcBorders/>
          </w:tcPr>
          <w:p>
            <w:pPr>
              <w:pStyle w:val="Normal"/>
              <w:snapToGrid w:val="false"/>
              <w:jc w:val="both"/>
              <w:rPr>
                <w:sz w:val="22"/>
              </w:rPr>
            </w:pPr>
            <w:r>
              <w:rPr>
                <w:sz w:val="22"/>
              </w:rPr>
            </w:r>
          </w:p>
        </w:tc>
        <w:tc>
          <w:tcPr>
            <w:tcW w:w="5850" w:type="dxa"/>
            <w:tcBorders/>
          </w:tcPr>
          <w:p>
            <w:pPr>
              <w:pStyle w:val="Normal"/>
              <w:tabs>
                <w:tab w:val="clear" w:pos="720"/>
                <w:tab w:val="left" w:pos="5292" w:leader="none"/>
              </w:tabs>
              <w:snapToGrid w:val="false"/>
              <w:jc w:val="both"/>
              <w:rPr>
                <w:sz w:val="22"/>
              </w:rPr>
            </w:pPr>
            <w:r>
              <w:rPr>
                <w:sz w:val="22"/>
              </w:rPr>
            </w:r>
          </w:p>
        </w:tc>
      </w:tr>
      <w:tr>
        <w:trPr/>
        <w:tc>
          <w:tcPr>
            <w:tcW w:w="4518" w:type="dxa"/>
            <w:tcBorders/>
          </w:tcPr>
          <w:p>
            <w:pPr>
              <w:pStyle w:val="Normal"/>
              <w:jc w:val="both"/>
              <w:rPr>
                <w:sz w:val="22"/>
              </w:rPr>
            </w:pPr>
            <w:r>
              <w:rPr>
                <w:sz w:val="22"/>
              </w:rPr>
              <w:t>PERIOD OF DELIVERY (“Delivery Term”):</w:t>
            </w:r>
          </w:p>
        </w:tc>
        <w:tc>
          <w:tcPr>
            <w:tcW w:w="5850" w:type="dxa"/>
            <w:tcBorders/>
          </w:tcPr>
          <w:p>
            <w:pPr>
              <w:pStyle w:val="Normal"/>
              <w:tabs>
                <w:tab w:val="clear" w:pos="720"/>
                <w:tab w:val="left" w:pos="5292" w:leader="none"/>
              </w:tabs>
              <w:jc w:val="both"/>
              <w:rPr>
                <w:sz w:val="24"/>
                <w:u w:val="single"/>
              </w:rPr>
            </w:pPr>
            <w:r>
              <w:rPr>
                <w:sz w:val="24"/>
                <w:u w:val="single"/>
              </w:rPr>
              <w:t>The purchase and sale of Energy shall commence on September 1, 2000 and shall end on August 30, 2004.</w:t>
              <w:tab/>
            </w:r>
          </w:p>
        </w:tc>
      </w:tr>
      <w:tr>
        <w:trPr/>
        <w:tc>
          <w:tcPr>
            <w:tcW w:w="4518" w:type="dxa"/>
            <w:tcBorders/>
          </w:tcPr>
          <w:p>
            <w:pPr>
              <w:pStyle w:val="Normal"/>
              <w:snapToGrid w:val="false"/>
              <w:jc w:val="both"/>
              <w:rPr>
                <w:sz w:val="22"/>
                <w:u w:val="single"/>
              </w:rPr>
            </w:pPr>
            <w:r>
              <w:rPr>
                <w:sz w:val="22"/>
                <w:u w:val="single"/>
              </w:rPr>
            </w:r>
          </w:p>
        </w:tc>
        <w:tc>
          <w:tcPr>
            <w:tcW w:w="5850" w:type="dxa"/>
            <w:tcBorders/>
          </w:tcPr>
          <w:p>
            <w:pPr>
              <w:pStyle w:val="Normal"/>
              <w:tabs>
                <w:tab w:val="clear" w:pos="720"/>
                <w:tab w:val="left" w:pos="5292" w:leader="none"/>
              </w:tabs>
              <w:snapToGrid w:val="false"/>
              <w:jc w:val="both"/>
              <w:rPr>
                <w:sz w:val="22"/>
              </w:rPr>
            </w:pPr>
            <w:r>
              <w:rPr>
                <w:sz w:val="22"/>
              </w:rPr>
            </w:r>
          </w:p>
        </w:tc>
      </w:tr>
      <w:tr>
        <w:trPr/>
        <w:tc>
          <w:tcPr>
            <w:tcW w:w="4518" w:type="dxa"/>
            <w:tcBorders/>
          </w:tcPr>
          <w:p>
            <w:pPr>
              <w:pStyle w:val="Normal"/>
              <w:jc w:val="both"/>
              <w:rPr>
                <w:sz w:val="22"/>
              </w:rPr>
            </w:pPr>
            <w:r>
              <w:rPr>
                <w:sz w:val="22"/>
              </w:rPr>
              <w:t>OTHER:</w:t>
            </w:r>
          </w:p>
        </w:tc>
        <w:tc>
          <w:tcPr>
            <w:tcW w:w="5850" w:type="dxa"/>
            <w:tcBorders/>
          </w:tcPr>
          <w:p>
            <w:pPr>
              <w:pStyle w:val="Heading2"/>
              <w:spacing w:before="240" w:after="60"/>
              <w:ind w:hanging="0" w:start="0"/>
              <w:rPr>
                <w:rFonts w:ascii="Times New Roman" w:hAnsi="Times New Roman" w:cs="Times New Roman"/>
                <w:b w:val="false"/>
                <w:i w:val="false"/>
                <w:i w:val="false"/>
                <w:u w:val="single"/>
              </w:rPr>
            </w:pPr>
            <w:r>
              <w:rPr>
                <w:rFonts w:cs="Times New Roman" w:ascii="Times New Roman" w:hAnsi="Times New Roman"/>
                <w:b w:val="false"/>
                <w:i w:val="false"/>
                <w:u w:val="single"/>
              </w:rPr>
              <w:t>If Buyer desires to Schedule Energy hereunder, Buyer shall do so in accordance with the provisions set forth on Exhibit “E” attached hereto.</w:t>
            </w:r>
          </w:p>
          <w:p>
            <w:pPr>
              <w:pStyle w:val="Normal"/>
              <w:rPr>
                <w:rFonts w:ascii="Times New Roman" w:hAnsi="Times New Roman" w:cs="Times New Roman"/>
                <w:b/>
                <w:i/>
                <w:i/>
                <w:u w:val="single"/>
              </w:rPr>
            </w:pPr>
            <w:r>
              <w:rPr>
                <w:rFonts w:cs="Times New Roman"/>
                <w:b/>
                <w:i/>
                <w:u w:val="single"/>
              </w:rPr>
            </w:r>
          </w:p>
          <w:p>
            <w:pPr>
              <w:pStyle w:val="BodyText"/>
              <w:rPr>
                <w:u w:val="single"/>
              </w:rPr>
            </w:pPr>
            <w:r>
              <w:rPr>
                <w:u w:val="single"/>
              </w:rPr>
              <w:t>Notwithstanding any provision of the Master Agreement (as hereinafter defined), including without limitation Section 3.5 thereof,  the provisions contained on Exhibit “F” shall govern in the event of an unexcused failure to perform by either Buyer or Seller</w:t>
            </w:r>
          </w:p>
          <w:p>
            <w:pPr>
              <w:pStyle w:val="BodyText"/>
              <w:rPr>
                <w:u w:val="single"/>
              </w:rPr>
            </w:pPr>
            <w:r>
              <w:rPr>
                <w:u w:val="single"/>
              </w:rPr>
            </w:r>
          </w:p>
          <w:p>
            <w:pPr>
              <w:pStyle w:val="BodyText"/>
              <w:rPr>
                <w:u w:val="single"/>
              </w:rPr>
            </w:pPr>
            <w:r>
              <w:rPr>
                <w:u w:val="single"/>
              </w:rPr>
              <w:t xml:space="preserve">For purposes of the Transaction contemplated by this Confirmation </w:t>
            </w:r>
            <w:r>
              <w:rPr>
                <w:b/>
                <w:u w:val="single"/>
              </w:rPr>
              <w:t>[OR SHOULD WE AMEND THE MASTER TO INCLUDE THIS FOR ALL TRANSACTIONS???]</w:t>
            </w:r>
            <w:r>
              <w:rPr>
                <w:u w:val="single"/>
              </w:rPr>
              <w:t xml:space="preserve"> , the term “Event of Default” shall also include the occurrence or existence of a default, event of default or other similar condition or event (however described) in respect of such Defaulting Party or any Credit Support Provider of such Defaulting Party under one or more other agreements or instruments by and between the Parties hereto.  </w:t>
            </w:r>
            <w:r>
              <w:rPr>
                <w:b/>
                <w:u w:val="single"/>
              </w:rPr>
              <w:t>[WHAT ABOUT THE MAC CLAUSE TO BE ADDED TO THE FINANCIAL AGREEMENT?]</w:t>
            </w:r>
          </w:p>
          <w:p>
            <w:pPr>
              <w:pStyle w:val="BodyText"/>
              <w:rPr>
                <w:b/>
                <w:u w:val="single"/>
              </w:rPr>
            </w:pPr>
            <w:r>
              <w:rPr>
                <w:b/>
                <w:u w:val="single"/>
              </w:rPr>
            </w:r>
          </w:p>
          <w:p>
            <w:pPr>
              <w:pStyle w:val="BodyTextIndent2"/>
              <w:ind w:start="-18" w:end="0"/>
              <w:rPr>
                <w:b/>
                <w:u w:val="single"/>
              </w:rPr>
            </w:pPr>
            <w:r>
              <w:rPr>
                <w:b/>
                <w:u w:val="single"/>
              </w:rPr>
              <w:t>[ELIZABETH, PLEASE TAKE A LOOK AT SECTIONS 4.5 AND 6.2 OF THE MASTER AGREEMENT – WHAT CHANGES ARE REQUIRED IN ORDER TO PERMIT THE TYPE OF NETTING/OFFSET THAT OUR RISK MANAGEMENT GROUP IS LOOKING FOR??]]</w:t>
            </w:r>
          </w:p>
          <w:p>
            <w:pPr>
              <w:pStyle w:val="Normal"/>
              <w:ind w:start="522" w:end="0"/>
              <w:rPr>
                <w:b/>
                <w:sz w:val="24"/>
                <w:u w:val="single"/>
              </w:rPr>
            </w:pPr>
            <w:r>
              <w:rPr>
                <w:b/>
                <w:sz w:val="24"/>
                <w:u w:val="single"/>
              </w:rPr>
            </w:r>
          </w:p>
          <w:p>
            <w:pPr>
              <w:pStyle w:val="Normal"/>
              <w:rPr>
                <w:sz w:val="24"/>
                <w:u w:val="single"/>
              </w:rPr>
            </w:pPr>
            <w:r>
              <w:rPr>
                <w:sz w:val="24"/>
                <w:u w:val="single"/>
              </w:rPr>
            </w:r>
          </w:p>
        </w:tc>
      </w:tr>
    </w:tbl>
    <w:p>
      <w:pPr>
        <w:pStyle w:val="Normal"/>
        <w:jc w:val="both"/>
        <w:rPr>
          <w:sz w:val="22"/>
        </w:rPr>
      </w:pPr>
      <w:r>
        <w:rPr>
          <w:sz w:val="22"/>
        </w:rPr>
      </w:r>
      <w:r>
        <w:br w:type="page"/>
      </w:r>
    </w:p>
    <w:p>
      <w:pPr>
        <w:pStyle w:val="Normal"/>
        <w:jc w:val="both"/>
        <w:rPr>
          <w:sz w:val="22"/>
        </w:rPr>
      </w:pPr>
      <w:r>
        <w:rPr>
          <w:sz w:val="22"/>
        </w:rPr>
      </w:r>
    </w:p>
    <w:p>
      <w:pPr>
        <w:pStyle w:val="Justified"/>
        <w:jc w:val="both"/>
        <w:rPr>
          <w:sz w:val="22"/>
        </w:rPr>
      </w:pPr>
      <w:r>
        <w:rPr>
          <w:sz w:val="22"/>
        </w:rPr>
        <w:tab/>
        <w:t>This Confirmation Letter is being provided pursuant to and in accordance with the Master Energy Purchase and Sale Agreement dated May 3, 1999 (the "Master Agreement") between Counterparty and EPMI, and constitutes part of and is subject to all of the terms and provisions of such Master Agreement.  Terms used but not defined herein shall have the meanings ascribed to them in this Master Agreement.</w:t>
      </w:r>
    </w:p>
    <w:p>
      <w:pPr>
        <w:pStyle w:val="Justified"/>
        <w:keepNext w:val="true"/>
        <w:keepLines/>
        <w:jc w:val="both"/>
        <w:rPr>
          <w:sz w:val="22"/>
        </w:rPr>
      </w:pPr>
      <w:r>
        <w:rPr>
          <w:sz w:val="22"/>
        </w:rPr>
      </w:r>
    </w:p>
    <w:p>
      <w:pPr>
        <w:pStyle w:val="Heading2"/>
        <w:ind w:hanging="0" w:start="0"/>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5220"/>
        <w:gridCol w:w="5148"/>
      </w:tblGrid>
      <w:tr>
        <w:trPr/>
        <w:tc>
          <w:tcPr>
            <w:tcW w:w="5220" w:type="dxa"/>
            <w:tcBorders/>
          </w:tcPr>
          <w:p>
            <w:pPr>
              <w:pStyle w:val="Normal"/>
              <w:keepNext w:val="true"/>
              <w:keepLines/>
              <w:tabs>
                <w:tab w:val="clear" w:pos="720"/>
                <w:tab w:val="left" w:pos="4680" w:leader="none"/>
              </w:tabs>
              <w:jc w:val="both"/>
              <w:rPr>
                <w:sz w:val="22"/>
              </w:rPr>
            </w:pPr>
            <w:r>
              <w:rPr>
                <w:sz w:val="22"/>
              </w:rPr>
              <w:t>"COUNTERPARTY"</w:t>
            </w:r>
          </w:p>
        </w:tc>
        <w:tc>
          <w:tcPr>
            <w:tcW w:w="5148" w:type="dxa"/>
            <w:tcBorders/>
          </w:tcPr>
          <w:p>
            <w:pPr>
              <w:pStyle w:val="Normal"/>
              <w:keepNext w:val="true"/>
              <w:keepLines/>
              <w:tabs>
                <w:tab w:val="clear" w:pos="720"/>
                <w:tab w:val="left" w:pos="4680" w:leader="none"/>
              </w:tabs>
              <w:jc w:val="both"/>
              <w:rPr>
                <w:sz w:val="22"/>
              </w:rPr>
            </w:pPr>
            <w:r>
              <w:rPr>
                <w:sz w:val="22"/>
              </w:rPr>
              <w:t>"EPMI"</w:t>
            </w:r>
          </w:p>
        </w:tc>
      </w:tr>
      <w:tr>
        <w:trPr/>
        <w:tc>
          <w:tcPr>
            <w:tcW w:w="5220" w:type="dxa"/>
            <w:tcBorders/>
          </w:tcPr>
          <w:p>
            <w:pPr>
              <w:pStyle w:val="TOAHeading"/>
              <w:keepNext w:val="true"/>
              <w:keepLines/>
              <w:tabs>
                <w:tab w:val="clear" w:pos="720"/>
                <w:tab w:val="left" w:pos="4680" w:leader="none"/>
              </w:tabs>
              <w:spacing w:before="0" w:after="0"/>
              <w:jc w:val="both"/>
              <w:rPr>
                <w:sz w:val="22"/>
              </w:rPr>
            </w:pPr>
            <w:r>
              <w:rPr>
                <w:sz w:val="22"/>
              </w:rPr>
              <w:t>MERRILL LYNCH CAPITAL SERVICES, INC.</w:t>
            </w:r>
          </w:p>
        </w:tc>
        <w:tc>
          <w:tcPr>
            <w:tcW w:w="5148" w:type="dxa"/>
            <w:tcBorders/>
          </w:tcPr>
          <w:p>
            <w:pPr>
              <w:pStyle w:val="Normal"/>
              <w:keepNext w:val="true"/>
              <w:keepLines/>
              <w:tabs>
                <w:tab w:val="clear" w:pos="720"/>
                <w:tab w:val="left" w:pos="4680" w:leader="none"/>
              </w:tabs>
              <w:jc w:val="both"/>
              <w:rPr>
                <w:sz w:val="22"/>
              </w:rPr>
            </w:pPr>
            <w:r>
              <w:rPr>
                <w:b/>
                <w:sz w:val="22"/>
              </w:rPr>
              <w:t>ENRON POWER MARKETING, INC.</w:t>
            </w:r>
          </w:p>
        </w:tc>
      </w:tr>
      <w:tr>
        <w:trPr/>
        <w:tc>
          <w:tcPr>
            <w:tcW w:w="5220" w:type="dxa"/>
            <w:tcBorders/>
          </w:tcPr>
          <w:p>
            <w:pPr>
              <w:pStyle w:val="Normal"/>
              <w:keepNext w:val="true"/>
              <w:keepLines/>
              <w:tabs>
                <w:tab w:val="clear" w:pos="720"/>
                <w:tab w:val="left" w:pos="4680" w:leader="none"/>
              </w:tabs>
              <w:snapToGrid w:val="false"/>
              <w:jc w:val="both"/>
              <w:rPr>
                <w:sz w:val="22"/>
              </w:rPr>
            </w:pPr>
            <w:r>
              <w:rPr>
                <w:sz w:val="22"/>
              </w:rPr>
            </w:r>
          </w:p>
        </w:tc>
        <w:tc>
          <w:tcPr>
            <w:tcW w:w="5148" w:type="dxa"/>
            <w:tcBorders/>
          </w:tcPr>
          <w:p>
            <w:pPr>
              <w:pStyle w:val="Normal"/>
              <w:keepNext w:val="true"/>
              <w:keepLines/>
              <w:tabs>
                <w:tab w:val="clear" w:pos="720"/>
                <w:tab w:val="left" w:pos="4680" w:leader="none"/>
              </w:tabs>
              <w:snapToGrid w:val="false"/>
              <w:jc w:val="both"/>
              <w:rPr>
                <w:sz w:val="22"/>
              </w:rPr>
            </w:pPr>
            <w:r>
              <w:rPr>
                <w:sz w:val="22"/>
              </w:rPr>
            </w:r>
          </w:p>
        </w:tc>
      </w:tr>
      <w:tr>
        <w:trPr/>
        <w:tc>
          <w:tcPr>
            <w:tcW w:w="5220" w:type="dxa"/>
            <w:tcBorders/>
          </w:tcPr>
          <w:p>
            <w:pPr>
              <w:pStyle w:val="Normal"/>
              <w:keepNext w:val="true"/>
              <w:keepLines/>
              <w:tabs>
                <w:tab w:val="clear" w:pos="720"/>
                <w:tab w:val="left" w:pos="4680" w:leader="none"/>
              </w:tabs>
              <w:snapToGrid w:val="false"/>
              <w:jc w:val="both"/>
              <w:rPr>
                <w:sz w:val="22"/>
              </w:rPr>
            </w:pPr>
            <w:r>
              <w:rPr>
                <w:sz w:val="22"/>
              </w:rPr>
            </w:r>
          </w:p>
        </w:tc>
        <w:tc>
          <w:tcPr>
            <w:tcW w:w="5148" w:type="dxa"/>
            <w:tcBorders/>
          </w:tcPr>
          <w:p>
            <w:pPr>
              <w:pStyle w:val="Normal"/>
              <w:keepNext w:val="true"/>
              <w:keepLines/>
              <w:tabs>
                <w:tab w:val="clear" w:pos="720"/>
                <w:tab w:val="left" w:pos="4680" w:leader="none"/>
              </w:tabs>
              <w:snapToGrid w:val="false"/>
              <w:jc w:val="both"/>
              <w:rPr>
                <w:sz w:val="22"/>
              </w:rPr>
            </w:pPr>
            <w:r>
              <w:rPr>
                <w:sz w:val="22"/>
              </w:rPr>
            </w:r>
          </w:p>
        </w:tc>
      </w:tr>
      <w:tr>
        <w:trPr/>
        <w:tc>
          <w:tcPr>
            <w:tcW w:w="5220" w:type="dxa"/>
            <w:tcBorders/>
          </w:tcPr>
          <w:p>
            <w:pPr>
              <w:pStyle w:val="Normal"/>
              <w:keepNext w:val="true"/>
              <w:keepLines/>
              <w:tabs>
                <w:tab w:val="clear" w:pos="720"/>
                <w:tab w:val="left" w:pos="4680" w:leader="none"/>
              </w:tabs>
              <w:jc w:val="both"/>
              <w:rPr>
                <w:sz w:val="22"/>
              </w:rPr>
            </w:pPr>
            <w:r>
              <w:rPr>
                <w:sz w:val="22"/>
              </w:rPr>
              <w:t>By:</w:t>
            </w:r>
            <w:r>
              <w:rPr>
                <w:sz w:val="22"/>
                <w:u w:val="single"/>
              </w:rPr>
              <w:tab/>
            </w:r>
          </w:p>
        </w:tc>
        <w:tc>
          <w:tcPr>
            <w:tcW w:w="5148" w:type="dxa"/>
            <w:tcBorders/>
          </w:tcPr>
          <w:p>
            <w:pPr>
              <w:pStyle w:val="Normal"/>
              <w:keepNext w:val="true"/>
              <w:keepLines/>
              <w:tabs>
                <w:tab w:val="clear" w:pos="720"/>
                <w:tab w:val="left" w:pos="4680" w:leader="none"/>
              </w:tabs>
              <w:jc w:val="both"/>
              <w:rPr>
                <w:sz w:val="22"/>
              </w:rPr>
            </w:pPr>
            <w:r>
              <w:rPr>
                <w:sz w:val="22"/>
              </w:rPr>
              <w:t>By:</w:t>
            </w:r>
            <w:r>
              <w:rPr>
                <w:sz w:val="22"/>
                <w:u w:val="single"/>
              </w:rPr>
              <w:tab/>
            </w:r>
          </w:p>
        </w:tc>
      </w:tr>
      <w:tr>
        <w:trPr/>
        <w:tc>
          <w:tcPr>
            <w:tcW w:w="5220" w:type="dxa"/>
            <w:tcBorders/>
          </w:tcPr>
          <w:p>
            <w:pPr>
              <w:pStyle w:val="Normal"/>
              <w:keepNext w:val="true"/>
              <w:keepLines/>
              <w:tabs>
                <w:tab w:val="clear" w:pos="720"/>
                <w:tab w:val="left" w:pos="4680" w:leader="none"/>
              </w:tabs>
              <w:jc w:val="both"/>
              <w:rPr>
                <w:sz w:val="22"/>
              </w:rPr>
            </w:pPr>
            <w:r>
              <w:rPr>
                <w:sz w:val="22"/>
              </w:rPr>
              <w:t>Title:</w:t>
            </w:r>
            <w:r>
              <w:rPr>
                <w:sz w:val="22"/>
                <w:u w:val="single"/>
              </w:rPr>
              <w:tab/>
            </w:r>
          </w:p>
        </w:tc>
        <w:tc>
          <w:tcPr>
            <w:tcW w:w="5148" w:type="dxa"/>
            <w:tcBorders/>
          </w:tcPr>
          <w:p>
            <w:pPr>
              <w:pStyle w:val="Normal"/>
              <w:keepNext w:val="true"/>
              <w:keepLines/>
              <w:tabs>
                <w:tab w:val="clear" w:pos="720"/>
                <w:tab w:val="left" w:pos="4680" w:leader="none"/>
              </w:tabs>
              <w:jc w:val="both"/>
              <w:rPr>
                <w:sz w:val="22"/>
              </w:rPr>
            </w:pPr>
            <w:r>
              <w:rPr>
                <w:sz w:val="22"/>
              </w:rPr>
              <w:t>Title:</w:t>
            </w:r>
            <w:r>
              <w:rPr>
                <w:sz w:val="22"/>
                <w:u w:val="single"/>
              </w:rPr>
              <w:tab/>
            </w:r>
          </w:p>
        </w:tc>
      </w:tr>
      <w:tr>
        <w:trPr/>
        <w:tc>
          <w:tcPr>
            <w:tcW w:w="5220" w:type="dxa"/>
            <w:tcBorders/>
          </w:tcPr>
          <w:p>
            <w:pPr>
              <w:pStyle w:val="Normal"/>
              <w:tabs>
                <w:tab w:val="clear" w:pos="720"/>
                <w:tab w:val="left" w:pos="4680" w:leader="none"/>
              </w:tabs>
              <w:jc w:val="both"/>
              <w:rPr>
                <w:sz w:val="22"/>
              </w:rPr>
            </w:pPr>
            <w:r>
              <w:rPr>
                <w:sz w:val="22"/>
              </w:rPr>
              <w:t>Date:</w:t>
            </w:r>
            <w:r>
              <w:rPr>
                <w:sz w:val="22"/>
                <w:u w:val="single"/>
              </w:rPr>
              <w:tab/>
            </w:r>
          </w:p>
        </w:tc>
        <w:tc>
          <w:tcPr>
            <w:tcW w:w="5148" w:type="dxa"/>
            <w:tcBorders/>
          </w:tcPr>
          <w:p>
            <w:pPr>
              <w:pStyle w:val="Normal"/>
              <w:tabs>
                <w:tab w:val="clear" w:pos="720"/>
                <w:tab w:val="left" w:pos="4680" w:leader="none"/>
              </w:tabs>
              <w:jc w:val="both"/>
              <w:rPr>
                <w:sz w:val="22"/>
              </w:rPr>
            </w:pPr>
            <w:r>
              <w:rPr>
                <w:sz w:val="22"/>
              </w:rPr>
              <w:t>Date:</w:t>
            </w:r>
            <w:r>
              <w:rPr>
                <w:sz w:val="22"/>
                <w:u w:val="single"/>
              </w:rPr>
              <w:tab/>
            </w:r>
          </w:p>
        </w:tc>
      </w:tr>
    </w:tbl>
    <w:p>
      <w:pPr>
        <w:pStyle w:val="Normal"/>
        <w:jc w:val="both"/>
        <w:rPr>
          <w:b/>
          <w:sz w:val="22"/>
        </w:rPr>
      </w:pPr>
      <w:r>
        <w:rPr>
          <w:b/>
          <w:sz w:val="22"/>
        </w:rPr>
      </w:r>
      <w:r>
        <w:br w:type="page"/>
      </w:r>
    </w:p>
    <w:p>
      <w:pPr>
        <w:pStyle w:val="Normal"/>
        <w:jc w:val="center"/>
        <w:rPr>
          <w:b/>
        </w:rPr>
      </w:pPr>
      <w:r>
        <w:rPr>
          <w:b/>
        </w:rPr>
        <w:t>EXHIBIT “A”</w:t>
      </w:r>
    </w:p>
    <w:p>
      <w:pPr>
        <w:pStyle w:val="Normal"/>
        <w:jc w:val="center"/>
        <w:rPr>
          <w:b/>
          <w:u w:val="single"/>
        </w:rPr>
      </w:pPr>
      <w:r>
        <w:rPr>
          <w:b/>
          <w:u w:val="single"/>
        </w:rPr>
      </w:r>
    </w:p>
    <w:p>
      <w:pPr>
        <w:pStyle w:val="Normal"/>
        <w:jc w:val="center"/>
        <w:rPr>
          <w:b/>
          <w:u w:val="single"/>
        </w:rPr>
      </w:pPr>
      <w:r>
        <w:rPr>
          <w:b/>
          <w:u w:val="single"/>
        </w:rPr>
        <w:t>HOURLY CAPS ON CONTRACT QUANTITY</w:t>
      </w:r>
    </w:p>
    <w:p>
      <w:pPr>
        <w:pStyle w:val="Normal"/>
        <w:jc w:val="center"/>
        <w:rPr>
          <w:b/>
          <w:u w:val="single"/>
        </w:rPr>
      </w:pPr>
      <w:r>
        <w:rPr>
          <w:b/>
          <w:u w:val="single"/>
        </w:rPr>
      </w:r>
    </w:p>
    <w:p>
      <w:pPr>
        <w:pStyle w:val="Normal"/>
        <w:jc w:val="center"/>
        <w:rPr>
          <w:b/>
        </w:rPr>
      </w:pPr>
      <w:r>
        <w:rPr>
          <w:b/>
        </w:rPr>
      </w:r>
    </w:p>
    <w:tbl>
      <w:tblPr>
        <w:tblW w:w="10519" w:type="dxa"/>
        <w:jc w:val="start"/>
        <w:tblInd w:w="0" w:type="dxa"/>
        <w:tblLayout w:type="fixed"/>
        <w:tblCellMar>
          <w:top w:w="0" w:type="dxa"/>
          <w:start w:w="30" w:type="dxa"/>
          <w:bottom w:w="0" w:type="dxa"/>
          <w:end w:w="30" w:type="dxa"/>
        </w:tblCellMar>
      </w:tblPr>
      <w:tblGrid>
        <w:gridCol w:w="1766"/>
        <w:gridCol w:w="1215"/>
        <w:gridCol w:w="962"/>
        <w:gridCol w:w="1056"/>
        <w:gridCol w:w="569"/>
        <w:gridCol w:w="1562"/>
        <w:gridCol w:w="1277"/>
        <w:gridCol w:w="1056"/>
        <w:gridCol w:w="1056"/>
      </w:tblGrid>
      <w:tr>
        <w:trPr>
          <w:trHeight w:val="247" w:hRule="atLeast"/>
        </w:trPr>
        <w:tc>
          <w:tcPr>
            <w:tcW w:w="1766" w:type="dxa"/>
            <w:tcBorders>
              <w:top w:val="single" w:sz="6" w:space="0" w:color="000000"/>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15" w:type="dxa"/>
            <w:tcBorders>
              <w:top w:val="single" w:sz="6" w:space="0" w:color="000000"/>
            </w:tcBorders>
          </w:tcPr>
          <w:p>
            <w:pPr>
              <w:pStyle w:val="Normal"/>
              <w:rPr>
                <w:rFonts w:ascii="Arial" w:hAnsi="Arial" w:cs="Arial"/>
                <w:color w:val="000000"/>
                <w:lang w:eastAsia="en-US"/>
              </w:rPr>
            </w:pPr>
            <w:r>
              <w:rPr>
                <w:rFonts w:cs="Arial" w:ascii="Arial" w:hAnsi="Arial"/>
                <w:color w:val="000000"/>
                <w:lang w:eastAsia="en-US"/>
              </w:rPr>
              <w:t>Wheatland</w:t>
            </w:r>
          </w:p>
        </w:tc>
        <w:tc>
          <w:tcPr>
            <w:tcW w:w="962" w:type="dxa"/>
            <w:tcBorders>
              <w:top w:val="single" w:sz="6" w:space="0" w:color="000000"/>
            </w:tcBorders>
          </w:tcPr>
          <w:p>
            <w:pPr>
              <w:pStyle w:val="Normal"/>
              <w:rPr>
                <w:rFonts w:ascii="Arial" w:hAnsi="Arial" w:cs="Arial"/>
                <w:color w:val="000000"/>
                <w:lang w:eastAsia="en-US"/>
              </w:rPr>
            </w:pPr>
            <w:r>
              <w:rPr>
                <w:rFonts w:cs="Arial" w:ascii="Arial" w:hAnsi="Arial"/>
                <w:color w:val="000000"/>
                <w:lang w:eastAsia="en-US"/>
              </w:rPr>
              <w:t>Lincoln</w:t>
            </w:r>
          </w:p>
        </w:tc>
        <w:tc>
          <w:tcPr>
            <w:tcW w:w="1056" w:type="dxa"/>
            <w:tcBorders>
              <w:top w:val="single" w:sz="6" w:space="0" w:color="000000"/>
            </w:tcBorders>
          </w:tcPr>
          <w:p>
            <w:pPr>
              <w:pStyle w:val="Normal"/>
              <w:rPr>
                <w:rFonts w:ascii="Arial" w:hAnsi="Arial" w:cs="Arial"/>
                <w:color w:val="000000"/>
                <w:lang w:eastAsia="en-US"/>
              </w:rPr>
            </w:pPr>
            <w:r>
              <w:rPr>
                <w:rFonts w:cs="Arial" w:ascii="Arial" w:hAnsi="Arial"/>
                <w:color w:val="000000"/>
                <w:lang w:eastAsia="en-US"/>
              </w:rPr>
              <w:t>Gleason</w:t>
            </w:r>
          </w:p>
        </w:tc>
        <w:tc>
          <w:tcPr>
            <w:tcW w:w="569" w:type="dxa"/>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tcBorders>
          </w:tcPr>
          <w:p>
            <w:pPr>
              <w:pStyle w:val="Normal"/>
              <w:rPr>
                <w:rFonts w:ascii="Arial" w:hAnsi="Arial" w:cs="Arial"/>
                <w:color w:val="000000"/>
                <w:lang w:eastAsia="en-US"/>
              </w:rPr>
            </w:pPr>
            <w:r>
              <w:rPr>
                <w:rFonts w:cs="Arial" w:ascii="Arial" w:hAnsi="Arial"/>
                <w:color w:val="000000"/>
                <w:lang w:eastAsia="en-US"/>
              </w:rPr>
              <w:t>Wheatland</w:t>
            </w:r>
          </w:p>
        </w:tc>
        <w:tc>
          <w:tcPr>
            <w:tcW w:w="1056" w:type="dxa"/>
            <w:tcBorders>
              <w:top w:val="single" w:sz="6" w:space="0" w:color="000000"/>
            </w:tcBorders>
          </w:tcPr>
          <w:p>
            <w:pPr>
              <w:pStyle w:val="Normal"/>
              <w:rPr>
                <w:rFonts w:ascii="Arial" w:hAnsi="Arial" w:cs="Arial"/>
                <w:color w:val="000000"/>
                <w:lang w:eastAsia="en-US"/>
              </w:rPr>
            </w:pPr>
            <w:r>
              <w:rPr>
                <w:rFonts w:cs="Arial" w:ascii="Arial" w:hAnsi="Arial"/>
                <w:color w:val="000000"/>
                <w:lang w:eastAsia="en-US"/>
              </w:rPr>
              <w:t>Lincoln</w:t>
            </w:r>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Gleason</w:t>
            </w:r>
          </w:p>
        </w:tc>
      </w:tr>
      <w:tr>
        <w:trPr>
          <w:trHeight w:val="247" w:hRule="atLeast"/>
        </w:trPr>
        <w:tc>
          <w:tcPr>
            <w:tcW w:w="1766" w:type="dxa"/>
            <w:tcBorders>
              <w:start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15" w:type="dxa"/>
            <w:tcBorders/>
          </w:tcPr>
          <w:p>
            <w:pPr>
              <w:pStyle w:val="Normal"/>
              <w:rPr>
                <w:rFonts w:ascii="Arial" w:hAnsi="Arial" w:cs="Arial"/>
                <w:color w:val="000000"/>
                <w:lang w:eastAsia="en-US"/>
              </w:rPr>
            </w:pPr>
            <w:r>
              <w:rPr>
                <w:rFonts w:cs="Arial" w:ascii="Arial" w:hAnsi="Arial"/>
                <w:color w:val="000000"/>
                <w:lang w:eastAsia="en-US"/>
              </w:rPr>
              <w:t>Delivery</w:t>
            </w:r>
          </w:p>
        </w:tc>
        <w:tc>
          <w:tcPr>
            <w:tcW w:w="962" w:type="dxa"/>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tcPr>
          <w:p>
            <w:pPr>
              <w:pStyle w:val="Normal"/>
              <w:rPr>
                <w:rFonts w:ascii="Arial" w:hAnsi="Arial" w:cs="Arial"/>
                <w:color w:val="000000"/>
                <w:lang w:eastAsia="en-US"/>
              </w:rPr>
            </w:pPr>
            <w:r>
              <w:rPr>
                <w:rFonts w:cs="Arial" w:ascii="Arial" w:hAnsi="Arial"/>
                <w:color w:val="000000"/>
                <w:lang w:eastAsia="en-US"/>
              </w:rPr>
              <w:t>Delivery</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 xml:space="preserve">Month-Year  </w:t>
            </w:r>
          </w:p>
        </w:tc>
        <w:tc>
          <w:tcPr>
            <w:tcW w:w="121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9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Month Year</w:t>
            </w:r>
          </w:p>
        </w:tc>
        <w:tc>
          <w:tcPr>
            <w:tcW w:w="127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55"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August-04</w:t>
            </w:r>
          </w:p>
        </w:tc>
        <w:tc>
          <w:tcPr>
            <w:tcW w:w="1277"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6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215"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9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27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pStyle w:val="Normal"/>
        <w:rPr/>
      </w:pPr>
      <w:r>
        <w:rPr/>
      </w:r>
    </w:p>
    <w:p>
      <w:pPr>
        <w:pStyle w:val="Normal"/>
        <w:rPr/>
      </w:pPr>
      <w:r>
        <w:rPr/>
      </w:r>
      <w:r>
        <w:br w:type="page"/>
      </w:r>
    </w:p>
    <w:p>
      <w:pPr>
        <w:pStyle w:val="Normal"/>
        <w:jc w:val="center"/>
        <w:rPr>
          <w:b/>
        </w:rPr>
      </w:pPr>
      <w:r>
        <w:rPr>
          <w:b/>
        </w:rPr>
        <w:t>EXHIBIT “B”</w:t>
      </w:r>
    </w:p>
    <w:p>
      <w:pPr>
        <w:pStyle w:val="Normal"/>
        <w:rPr>
          <w:b/>
        </w:rPr>
      </w:pPr>
      <w:r>
        <w:rPr>
          <w:b/>
        </w:rPr>
      </w:r>
    </w:p>
    <w:p>
      <w:pPr>
        <w:pStyle w:val="Heading1"/>
        <w:ind w:hanging="0" w:start="0"/>
        <w:rPr/>
      </w:pPr>
      <w:r>
        <w:rPr/>
        <w:t>DELIVERY POINTS</w:t>
      </w:r>
    </w:p>
    <w:p>
      <w:pPr>
        <w:pStyle w:val="Heading2"/>
        <w:ind w:hanging="0" w:start="0"/>
        <w:jc w:val="both"/>
        <w:rPr>
          <w:rFonts w:ascii="Times New Roman" w:hAnsi="Times New Roman" w:cs="Times New Roman"/>
          <w:b w:val="false"/>
          <w:i w:val="false"/>
          <w:i w:val="false"/>
        </w:rPr>
      </w:pPr>
      <w:r>
        <w:rPr>
          <w:rFonts w:cs="Times New Roman" w:ascii="Times New Roman" w:hAnsi="Times New Roman"/>
          <w:b w:val="false"/>
          <w:i w:val="false"/>
        </w:rPr>
        <w:t>The Delivery Points shall be any or all of the following delivery points ("Delivery Points") or any other mutually agreeable delivery points:</w:t>
      </w:r>
    </w:p>
    <w:p>
      <w:pPr>
        <w:pStyle w:val="Heading2"/>
        <w:tabs>
          <w:tab w:val="clear" w:pos="720"/>
          <w:tab w:val="left" w:pos="3600" w:leader="none"/>
          <w:tab w:val="left" w:pos="5040" w:leader="none"/>
        </w:tabs>
        <w:ind w:hanging="3600" w:start="5040" w:end="0"/>
        <w:jc w:val="both"/>
        <w:rPr>
          <w:rFonts w:ascii="Times New Roman" w:hAnsi="Times New Roman" w:cs="Times New Roman"/>
          <w:b w:val="false"/>
          <w:i w:val="false"/>
          <w:i w:val="false"/>
        </w:rPr>
      </w:pPr>
      <w:r>
        <w:rPr>
          <w:rFonts w:cs="Times New Roman" w:ascii="Times New Roman" w:hAnsi="Times New Roman"/>
          <w:b w:val="false"/>
          <w:i w:val="false"/>
        </w:rPr>
        <w:t>Gleason Delivery Point-</w:t>
        <w:tab/>
        <w:t>The proposed Gleason Control Area including the Gleason Substation on TVA’s Johnsonville-Weakley 500 Kv transmission system.</w:t>
      </w:r>
    </w:p>
    <w:p>
      <w:pPr>
        <w:pStyle w:val="Heading2"/>
        <w:tabs>
          <w:tab w:val="clear" w:pos="720"/>
          <w:tab w:val="left" w:pos="3600" w:leader="none"/>
          <w:tab w:val="left" w:pos="5040" w:leader="none"/>
        </w:tabs>
        <w:ind w:hanging="3600" w:start="5040" w:end="0"/>
        <w:jc w:val="both"/>
        <w:rPr>
          <w:rFonts w:ascii="Times New Roman" w:hAnsi="Times New Roman" w:cs="Times New Roman"/>
          <w:b w:val="false"/>
          <w:i w:val="false"/>
          <w:i w:val="false"/>
        </w:rPr>
      </w:pPr>
      <w:r>
        <w:rPr>
          <w:rFonts w:cs="Times New Roman" w:ascii="Times New Roman" w:hAnsi="Times New Roman"/>
          <w:b w:val="false"/>
          <w:i w:val="false"/>
        </w:rPr>
        <w:t>Lincoln Delivery Point-</w:t>
        <w:tab/>
        <w:t>The proposed Lincoln Center Control Area including the Wilton Center Substation on ComEd's 345 Kv transmission system</w:t>
      </w:r>
    </w:p>
    <w:p>
      <w:pPr>
        <w:pStyle w:val="Heading2"/>
        <w:tabs>
          <w:tab w:val="clear" w:pos="720"/>
          <w:tab w:val="left" w:pos="3600" w:leader="none"/>
          <w:tab w:val="left" w:pos="5040" w:leader="none"/>
        </w:tabs>
        <w:ind w:hanging="3600" w:start="5040" w:end="0"/>
        <w:jc w:val="both"/>
        <w:rPr>
          <w:rFonts w:ascii="Times New Roman" w:hAnsi="Times New Roman" w:cs="Times New Roman"/>
          <w:b w:val="false"/>
          <w:i w:val="false"/>
          <w:i w:val="false"/>
        </w:rPr>
      </w:pPr>
      <w:r>
        <w:rPr>
          <w:rFonts w:cs="Times New Roman" w:ascii="Times New Roman" w:hAnsi="Times New Roman"/>
          <w:b w:val="false"/>
          <w:i w:val="false"/>
        </w:rPr>
        <w:t xml:space="preserve">Wheatland Delivery Point - </w:t>
        <w:tab/>
        <w:t>The proposed Wheatland Control Area including the Breed Line Substation on Cinergy's 345 Kv transmission system</w:t>
      </w:r>
    </w:p>
    <w:p>
      <w:pPr>
        <w:pStyle w:val="Heading2"/>
        <w:tabs>
          <w:tab w:val="clear" w:pos="720"/>
          <w:tab w:val="left" w:pos="1440" w:leader="none"/>
          <w:tab w:val="left" w:pos="3600" w:leader="none"/>
        </w:tabs>
        <w:ind w:hanging="0" w:start="1440" w:end="0"/>
        <w:rPr>
          <w:rFonts w:ascii="Times New Roman" w:hAnsi="Times New Roman" w:cs="Times New Roman"/>
          <w:b w:val="false"/>
          <w:i w:val="false"/>
          <w:i w:val="false"/>
        </w:rPr>
      </w:pPr>
      <w:r>
        <w:rPr>
          <w:rFonts w:cs="Times New Roman" w:ascii="Times New Roman" w:hAnsi="Times New Roman"/>
          <w:b w:val="false"/>
          <w:i w:val="false"/>
        </w:rPr>
        <w:t>[THESE DELIVERY POINTS NEED TO BE CONSIDERED/DISCUSSED FURTHER]</w:t>
      </w:r>
    </w:p>
    <w:p>
      <w:pPr>
        <w:pStyle w:val="Heading2"/>
        <w:ind w:hanging="0" w:start="720" w:end="0"/>
        <w:jc w:val="both"/>
        <w:rPr>
          <w:rFonts w:ascii="Times New Roman" w:hAnsi="Times New Roman" w:cs="Times New Roman"/>
          <w:b w:val="false"/>
          <w:i w:val="false"/>
          <w:i w:val="false"/>
        </w:rPr>
      </w:pPr>
      <w:r>
        <w:rPr>
          <w:rFonts w:cs="Times New Roman" w:ascii="Times New Roman" w:hAnsi="Times New Roman"/>
          <w:b w:val="false"/>
          <w:i w:val="false"/>
        </w:rPr>
        <w:t xml:space="preserve">In the event that one of the foregoing “Control Areas” are not established, Seller shall select (in its reasonable discretion) another delivery point which is reasonably proximate to where the parties anticipated the “Control Area” would be.  Seller shall sell and deliver, or cause to be delivered, and Buyer shall purchase and receive, or cause to be received, Energy at the Delivery Points. </w:t>
      </w:r>
    </w:p>
    <w:p>
      <w:pPr>
        <w:pStyle w:val="Normal"/>
        <w:rPr>
          <w:rFonts w:ascii="Times New Roman" w:hAnsi="Times New Roman" w:cs="Times New Roman"/>
          <w:b/>
          <w:i/>
          <w:i/>
        </w:rPr>
      </w:pPr>
      <w:r>
        <w:rPr>
          <w:rFonts w:cs="Times New Roman"/>
          <w:b/>
          <w:i/>
        </w:rPr>
      </w:r>
    </w:p>
    <w:p>
      <w:pPr>
        <w:pStyle w:val="Normal"/>
        <w:rPr/>
      </w:pPr>
      <w:r>
        <w:rPr/>
      </w:r>
    </w:p>
    <w:p>
      <w:pPr>
        <w:pStyle w:val="Normal"/>
        <w:rPr/>
      </w:pPr>
      <w:r>
        <w:rPr/>
      </w:r>
    </w:p>
    <w:p>
      <w:pPr>
        <w:pStyle w:val="BodyTextIndent"/>
        <w:spacing w:before="360" w:after="0"/>
        <w:rPr>
          <w:sz w:val="24"/>
        </w:rPr>
      </w:pPr>
      <w:r>
        <w:rPr>
          <w:sz w:val="24"/>
        </w:rPr>
        <w:t xml:space="preserve">["Into ______________'s (the "Receiving Transmission Provider") Transmission System Border, Seller's Daily Choice" means that subject to the provisions set forth below (1) the Product will be delivered either (a) to an interface on the Receiving Transmission Provider's transmission system border or (b) to an interface from a source of generation within the control area of the Receiving Transmission Provider provided the Energy is generated from a source within the Receiving Transmission Provider's control area; and (2) Seller has the right on a daily prescheduled basis to designate the interface at which the Energy will be delivered.  Notwithstanding the foregoing, an "Into" Product shall be subject to the following provisions: ] </w:t>
      </w:r>
      <w:r>
        <w:rPr>
          <w:b/>
          <w:sz w:val="24"/>
        </w:rPr>
        <w:t>THIS IS THE LEAD IN TO THE DEFINITION OF AN “INTO PRODUCT” THAT ELIZABETH SAGER SENT TO ME/ WE NEED TO DISCUSS THIS IS GREATER DETAIL TO GET FALLON/PRESTO COMFORTABLE ON OUR DELIVERY OBLIGATIONS!</w:t>
      </w:r>
    </w:p>
    <w:p>
      <w:pPr>
        <w:pStyle w:val="Normal"/>
        <w:rPr>
          <w:sz w:val="24"/>
        </w:rPr>
      </w:pPr>
      <w:r>
        <w:rPr>
          <w:sz w:val="24"/>
        </w:rPr>
      </w:r>
    </w:p>
    <w:p>
      <w:pPr>
        <w:pStyle w:val="Normal"/>
        <w:jc w:val="center"/>
        <w:rPr>
          <w:b/>
          <w:sz w:val="24"/>
        </w:rPr>
      </w:pPr>
      <w:r>
        <w:rPr>
          <w:b/>
          <w:sz w:val="24"/>
        </w:rPr>
        <w:t>EXHIBIT “C”</w:t>
      </w:r>
    </w:p>
    <w:p>
      <w:pPr>
        <w:pStyle w:val="Normal"/>
        <w:jc w:val="center"/>
        <w:rPr>
          <w:b/>
          <w:sz w:val="24"/>
        </w:rPr>
      </w:pPr>
      <w:r>
        <w:rPr>
          <w:b/>
          <w:sz w:val="24"/>
        </w:rPr>
      </w:r>
    </w:p>
    <w:p>
      <w:pPr>
        <w:pStyle w:val="Heading1"/>
        <w:ind w:hanging="0" w:start="0"/>
        <w:rPr>
          <w:caps/>
          <w:sz w:val="24"/>
          <w:u w:val="single"/>
        </w:rPr>
      </w:pPr>
      <w:r>
        <w:rPr>
          <w:caps/>
          <w:sz w:val="24"/>
          <w:u w:val="single"/>
        </w:rPr>
        <w:t>ENERGY CHARGE</w:t>
      </w:r>
    </w:p>
    <w:p>
      <w:pPr>
        <w:pStyle w:val="Normal"/>
        <w:rPr>
          <w:b/>
          <w:caps/>
          <w:sz w:val="24"/>
          <w:u w:val="single"/>
        </w:rPr>
      </w:pPr>
      <w:r>
        <w:rPr>
          <w:b/>
          <w:caps/>
          <w:sz w:val="24"/>
          <w:u w:val="single"/>
        </w:rPr>
      </w:r>
    </w:p>
    <w:p>
      <w:pPr>
        <w:pStyle w:val="Normal"/>
        <w:rPr>
          <w:b/>
          <w:sz w:val="24"/>
        </w:rPr>
      </w:pPr>
      <w:r>
        <w:rPr>
          <w:b/>
          <w:sz w:val="24"/>
        </w:rPr>
      </w:r>
    </w:p>
    <w:p>
      <w:pPr>
        <w:pStyle w:val="para"/>
        <w:rPr>
          <w:sz w:val="24"/>
        </w:rPr>
      </w:pPr>
      <w:r>
        <w:rPr>
          <w:sz w:val="24"/>
        </w:rPr>
        <w:t>The Energy Charge shall be equal to the sum of the Daily Energy Charges at each of the Delivery Points calculated for each Day of the applicable Month.  The Daily Energy Charges shall be calculated as follows:</w:t>
      </w:r>
    </w:p>
    <w:p>
      <w:pPr>
        <w:pStyle w:val="Normal"/>
        <w:rPr>
          <w:sz w:val="24"/>
        </w:rPr>
      </w:pPr>
      <w:r>
        <w:rPr>
          <w:sz w:val="24"/>
        </w:rPr>
      </w:r>
    </w:p>
    <w:p>
      <w:pPr>
        <w:pStyle w:val="Normal"/>
        <w:rPr>
          <w:sz w:val="24"/>
          <w:u w:val="single"/>
        </w:rPr>
      </w:pPr>
      <w:r>
        <w:rPr>
          <w:sz w:val="24"/>
          <w:u w:val="single"/>
        </w:rPr>
        <w:t>Daily Energy Charge during the Summer Season</w:t>
      </w:r>
    </w:p>
    <w:p>
      <w:pPr>
        <w:pStyle w:val="Normal"/>
        <w:rPr>
          <w:sz w:val="24"/>
          <w:u w:val="single"/>
        </w:rPr>
      </w:pPr>
      <w:r>
        <w:rPr>
          <w:sz w:val="24"/>
          <w:u w:val="single"/>
        </w:rPr>
      </w:r>
    </w:p>
    <w:p>
      <w:pPr>
        <w:pStyle w:val="Normal"/>
        <w:rPr>
          <w:sz w:val="24"/>
        </w:rPr>
      </w:pPr>
      <w:r>
        <w:rPr>
          <w:sz w:val="24"/>
        </w:rPr>
        <w:t>Energy Delivered at the Gleason Delivery Point x [(11.5 MMBtu/MWh x Gleason Summer Gas Index) + $2.50/MWh]</w:t>
      </w:r>
    </w:p>
    <w:p>
      <w:pPr>
        <w:pStyle w:val="Normal"/>
        <w:rPr>
          <w:sz w:val="24"/>
        </w:rPr>
      </w:pPr>
      <w:r>
        <w:rPr>
          <w:sz w:val="24"/>
        </w:rPr>
        <w:t>Energy Delivered at the Lincoln Delivery Point x [(11.5 MMBtu/MWh x Lincoln Summer Gas Index) + $2.50/MWh]</w:t>
      </w:r>
    </w:p>
    <w:p>
      <w:pPr>
        <w:pStyle w:val="Normal"/>
        <w:rPr>
          <w:sz w:val="24"/>
        </w:rPr>
      </w:pPr>
      <w:r>
        <w:rPr>
          <w:sz w:val="24"/>
        </w:rPr>
        <w:t>Energy Delivered at the Wheatland Delivery Point x [(11.5 MMBtu/MWh x Wheatland Summer Gas Index) + $2.50/MWh]</w:t>
      </w:r>
    </w:p>
    <w:p>
      <w:pPr>
        <w:pStyle w:val="Normal"/>
        <w:rPr>
          <w:sz w:val="24"/>
        </w:rPr>
      </w:pPr>
      <w:r>
        <w:rPr>
          <w:sz w:val="24"/>
        </w:rPr>
      </w:r>
    </w:p>
    <w:p>
      <w:pPr>
        <w:pStyle w:val="Normal"/>
        <w:rPr>
          <w:sz w:val="24"/>
          <w:u w:val="single"/>
        </w:rPr>
      </w:pPr>
      <w:r>
        <w:rPr>
          <w:sz w:val="24"/>
          <w:u w:val="single"/>
        </w:rPr>
        <w:t>Daily Energy Charge during the Non-Summer Season</w:t>
      </w:r>
    </w:p>
    <w:p>
      <w:pPr>
        <w:pStyle w:val="Normal"/>
        <w:rPr>
          <w:sz w:val="24"/>
          <w:u w:val="single"/>
        </w:rPr>
      </w:pPr>
      <w:r>
        <w:rPr>
          <w:sz w:val="24"/>
          <w:u w:val="single"/>
        </w:rPr>
      </w:r>
    </w:p>
    <w:p>
      <w:pPr>
        <w:pStyle w:val="Normal"/>
        <w:rPr>
          <w:sz w:val="24"/>
        </w:rPr>
      </w:pPr>
      <w:r>
        <w:rPr>
          <w:sz w:val="24"/>
        </w:rPr>
        <w:t>Energy Delivered at the Gleason Delivery Point x [(11.5 MMBtu/MWh x Gleason Non-Summer Gas Index) + $2.50/MWh]</w:t>
      </w:r>
    </w:p>
    <w:p>
      <w:pPr>
        <w:pStyle w:val="Normal"/>
        <w:rPr>
          <w:sz w:val="24"/>
        </w:rPr>
      </w:pPr>
      <w:r>
        <w:rPr>
          <w:sz w:val="24"/>
        </w:rPr>
        <w:t>Energy Delivered at the Lincoln Delivery Point x [(11.5 MMBtu/MWh x Lincoln Non-Summer Gas Index) + $2.50/MWh]</w:t>
      </w:r>
    </w:p>
    <w:p>
      <w:pPr>
        <w:pStyle w:val="Normal"/>
        <w:rPr>
          <w:sz w:val="24"/>
        </w:rPr>
      </w:pPr>
      <w:r>
        <w:rPr>
          <w:sz w:val="24"/>
        </w:rPr>
        <w:t>Energy Delivered at the Wheatland Delivery Point x [(11.5 MMBtu/MWh x Wheatland Non-Summer Gas Index) + $2.50/MWh]</w:t>
      </w:r>
    </w:p>
    <w:p>
      <w:pPr>
        <w:pStyle w:val="Normal"/>
        <w:rPr>
          <w:sz w:val="24"/>
        </w:rPr>
      </w:pPr>
      <w:r>
        <w:rPr>
          <w:sz w:val="24"/>
        </w:rPr>
      </w:r>
    </w:p>
    <w:p>
      <w:pPr>
        <w:pStyle w:val="Normal"/>
        <w:rPr>
          <w:sz w:val="24"/>
        </w:rPr>
      </w:pPr>
      <w:r>
        <w:rPr>
          <w:sz w:val="24"/>
        </w:rPr>
        <w:t>Energy Delivered = The amount of Energy (in MWh) delivered by Seller to Buyer at each Delivery Point on the applicable Day</w:t>
      </w:r>
    </w:p>
    <w:p>
      <w:pPr>
        <w:pStyle w:val="Normal"/>
        <w:rPr>
          <w:sz w:val="24"/>
        </w:rPr>
      </w:pPr>
      <w:r>
        <w:rPr>
          <w:sz w:val="24"/>
        </w:rPr>
      </w:r>
    </w:p>
    <w:p>
      <w:pPr>
        <w:pStyle w:val="Normal"/>
        <w:rPr>
          <w:sz w:val="24"/>
        </w:rPr>
      </w:pPr>
      <w:r>
        <w:rPr>
          <w:sz w:val="24"/>
        </w:rPr>
        <w:t xml:space="preserve">Gleason Summer Gas Index = ANR SE + $0.195  </w:t>
      </w:r>
      <w:r>
        <w:rPr>
          <w:b/>
          <w:sz w:val="24"/>
        </w:rPr>
        <w:t>[MERRILL PROPOSED + $0.125]</w:t>
      </w:r>
    </w:p>
    <w:p>
      <w:pPr>
        <w:pStyle w:val="Heading3"/>
        <w:ind w:hanging="0" w:start="0"/>
        <w:rPr/>
      </w:pPr>
      <w:r>
        <w:rPr/>
        <w:t xml:space="preserve">Gleason Non-Summer Gas Index = Mich-Con Gas Daily + $0.25  </w:t>
      </w:r>
      <w:r>
        <w:rPr>
          <w:b/>
        </w:rPr>
        <w:t>[MERRILL PROPOSED + $0.12 AND WANTS TO KNOW “WHY THIS INDEX?]</w:t>
      </w:r>
    </w:p>
    <w:p>
      <w:pPr>
        <w:pStyle w:val="Normal"/>
        <w:rPr>
          <w:sz w:val="24"/>
        </w:rPr>
      </w:pPr>
      <w:r>
        <w:rPr>
          <w:sz w:val="24"/>
        </w:rPr>
      </w:r>
    </w:p>
    <w:p>
      <w:pPr>
        <w:pStyle w:val="Normal"/>
        <w:rPr>
          <w:sz w:val="24"/>
        </w:rPr>
      </w:pPr>
      <w:r>
        <w:rPr>
          <w:sz w:val="24"/>
        </w:rPr>
        <w:t>Lincoln Summer Gas Index = Chicago City Gate Gas Daily +$0.10</w:t>
      </w:r>
    </w:p>
    <w:p>
      <w:pPr>
        <w:pStyle w:val="Normal"/>
        <w:rPr>
          <w:sz w:val="24"/>
        </w:rPr>
      </w:pPr>
      <w:r>
        <w:rPr>
          <w:sz w:val="24"/>
        </w:rPr>
        <w:t xml:space="preserve">Lincoln Non-Summer Gas Index = Chicago City Gate Gas Daily +$0.25 </w:t>
      </w:r>
      <w:r>
        <w:rPr>
          <w:b/>
          <w:sz w:val="24"/>
        </w:rPr>
        <w:t>[MERRILL PROPOSED + $0.21]</w:t>
      </w:r>
    </w:p>
    <w:p>
      <w:pPr>
        <w:pStyle w:val="Normal"/>
        <w:rPr>
          <w:sz w:val="24"/>
        </w:rPr>
      </w:pPr>
      <w:r>
        <w:rPr>
          <w:sz w:val="24"/>
        </w:rPr>
      </w:r>
    </w:p>
    <w:p>
      <w:pPr>
        <w:pStyle w:val="Heading3"/>
        <w:ind w:hanging="0" w:start="0"/>
        <w:rPr/>
      </w:pPr>
      <w:r>
        <w:rPr/>
        <w:t xml:space="preserve">Wheatland Summer Gas Index = Tennessee 500 Leg + $0.25 </w:t>
      </w:r>
      <w:r>
        <w:rPr>
          <w:b/>
        </w:rPr>
        <w:t>[MERRILL PROPOSED + $0.22 AND WANTS TO KNOW “WHY THIS INDEX?]</w:t>
      </w:r>
    </w:p>
    <w:p>
      <w:pPr>
        <w:pStyle w:val="Normal"/>
        <w:rPr>
          <w:sz w:val="24"/>
        </w:rPr>
      </w:pPr>
      <w:r>
        <w:rPr>
          <w:sz w:val="24"/>
        </w:rPr>
        <w:t xml:space="preserve">Wheatland Non-Summer Gas Index = Chicago City Gate Gas Daily + $0.23 </w:t>
      </w:r>
      <w:r>
        <w:rPr>
          <w:b/>
          <w:sz w:val="24"/>
        </w:rPr>
        <w:t>[MERRILL PROPOSED + $0.08]</w:t>
      </w:r>
    </w:p>
    <w:p>
      <w:pPr>
        <w:pStyle w:val="Normal"/>
        <w:jc w:val="center"/>
        <w:rPr>
          <w:b/>
          <w:sz w:val="24"/>
        </w:rPr>
      </w:pPr>
      <w:r>
        <w:rPr>
          <w:b/>
          <w:sz w:val="24"/>
        </w:rPr>
      </w:r>
    </w:p>
    <w:p>
      <w:pPr>
        <w:pStyle w:val="Normal"/>
        <w:jc w:val="center"/>
        <w:rPr>
          <w:b/>
          <w:sz w:val="24"/>
        </w:rPr>
      </w:pPr>
      <w:r>
        <w:rPr>
          <w:b/>
          <w:sz w:val="24"/>
        </w:rPr>
        <w:t>[GAS INDICES NEED TO BE DISCUSSED IN GREATER DETAIL – MERRILL HAS PROPOSED A DIFFERENT DEFINITION FOR ANR SE</w:t>
      </w:r>
    </w:p>
    <w:p>
      <w:pPr>
        <w:pStyle w:val="Normal"/>
        <w:jc w:val="center"/>
        <w:rPr>
          <w:b/>
          <w:sz w:val="24"/>
        </w:rPr>
      </w:pPr>
      <w:r>
        <w:rPr>
          <w:b/>
          <w:sz w:val="24"/>
        </w:rPr>
      </w:r>
    </w:p>
    <w:p>
      <w:pPr>
        <w:pStyle w:val="Normal"/>
        <w:jc w:val="center"/>
        <w:rPr>
          <w:b/>
          <w:sz w:val="24"/>
        </w:rPr>
      </w:pPr>
      <w:r>
        <w:rPr>
          <w:b/>
          <w:sz w:val="24"/>
        </w:rPr>
        <w:t>IN ADDITION – MERRILL HAS REQUESTED THAT ALL GAS INDICES BE DERIVED FROM INSIDE F.E.R.C. PRICES – ON A PRECEDING MONTH BASIS]</w:t>
      </w:r>
    </w:p>
    <w:p>
      <w:pPr>
        <w:pStyle w:val="Normal"/>
        <w:jc w:val="center"/>
        <w:rPr>
          <w:b/>
          <w:sz w:val="24"/>
        </w:rPr>
      </w:pPr>
      <w:r>
        <w:rPr>
          <w:b/>
          <w:sz w:val="24"/>
        </w:rPr>
      </w:r>
      <w:r>
        <w:br w:type="page"/>
      </w:r>
    </w:p>
    <w:p>
      <w:pPr>
        <w:pStyle w:val="Normal"/>
        <w:jc w:val="center"/>
        <w:rPr>
          <w:b/>
          <w:sz w:val="24"/>
        </w:rPr>
      </w:pPr>
      <w:r>
        <w:rPr>
          <w:b/>
          <w:sz w:val="24"/>
        </w:rPr>
        <w:t>EXHIBIT “D”</w:t>
      </w:r>
    </w:p>
    <w:p>
      <w:pPr>
        <w:pStyle w:val="Normal"/>
        <w:jc w:val="center"/>
        <w:rPr>
          <w:b/>
          <w:sz w:val="24"/>
        </w:rPr>
      </w:pPr>
      <w:r>
        <w:rPr>
          <w:b/>
          <w:sz w:val="24"/>
        </w:rPr>
      </w:r>
    </w:p>
    <w:p>
      <w:pPr>
        <w:pStyle w:val="Normal"/>
        <w:jc w:val="center"/>
        <w:rPr>
          <w:b/>
          <w:sz w:val="24"/>
        </w:rPr>
      </w:pPr>
      <w:r>
        <w:rPr>
          <w:b/>
          <w:sz w:val="24"/>
        </w:rPr>
        <w:t>MONTHLY DEMAND CHARGE</w:t>
      </w:r>
    </w:p>
    <w:p>
      <w:pPr>
        <w:pStyle w:val="Normal"/>
        <w:rPr>
          <w:b/>
          <w:sz w:val="24"/>
        </w:rPr>
      </w:pPr>
      <w:r>
        <w:rPr>
          <w:b/>
          <w:sz w:val="24"/>
        </w:rPr>
      </w:r>
      <w:r>
        <w:br w:type="page"/>
      </w:r>
    </w:p>
    <w:p>
      <w:pPr>
        <w:pStyle w:val="Normal"/>
        <w:jc w:val="center"/>
        <w:rPr>
          <w:b/>
          <w:sz w:val="24"/>
        </w:rPr>
      </w:pPr>
      <w:r>
        <w:rPr>
          <w:b/>
          <w:sz w:val="24"/>
        </w:rPr>
        <w:t>EXHIBIT “E”</w:t>
      </w:r>
    </w:p>
    <w:p>
      <w:pPr>
        <w:pStyle w:val="Normal"/>
        <w:jc w:val="center"/>
        <w:rPr>
          <w:b/>
          <w:sz w:val="24"/>
        </w:rPr>
      </w:pPr>
      <w:r>
        <w:rPr>
          <w:b/>
          <w:sz w:val="24"/>
        </w:rPr>
      </w:r>
    </w:p>
    <w:p>
      <w:pPr>
        <w:pStyle w:val="Normal"/>
        <w:jc w:val="center"/>
        <w:rPr>
          <w:b/>
          <w:sz w:val="24"/>
        </w:rPr>
      </w:pPr>
      <w:r>
        <w:rPr>
          <w:b/>
          <w:sz w:val="24"/>
        </w:rPr>
        <w:t>SCHEDULING</w:t>
      </w:r>
    </w:p>
    <w:p>
      <w:pPr>
        <w:pStyle w:val="Heading2"/>
        <w:numPr>
          <w:ilvl w:val="0"/>
          <w:numId w:val="2"/>
        </w:numPr>
        <w:tabs>
          <w:tab w:val="clear" w:pos="720"/>
          <w:tab w:val="left" w:pos="0" w:leader="none"/>
        </w:tabs>
        <w:ind w:hanging="0" w:start="0" w:end="0"/>
        <w:rPr>
          <w:rFonts w:ascii="Times New Roman" w:hAnsi="Times New Roman" w:cs="Times New Roman"/>
          <w:b w:val="false"/>
          <w:i w:val="false"/>
          <w:i w:val="false"/>
        </w:rPr>
      </w:pPr>
      <w:r>
        <w:rPr>
          <w:rFonts w:cs="Times New Roman" w:ascii="Times New Roman" w:hAnsi="Times New Roman"/>
          <w:b w:val="false"/>
          <w:i w:val="false"/>
        </w:rPr>
        <w:t xml:space="preserve">On or before 8:00 a.m. Central Prevailing Time each Business Day </w:t>
      </w:r>
      <w:r>
        <w:rPr>
          <w:rFonts w:cs="Times New Roman" w:ascii="Times New Roman" w:hAnsi="Times New Roman"/>
          <w:i w:val="false"/>
        </w:rPr>
        <w:t>[CONSIDER WHETHER IT IS CRITICAL TO CARVE OUT NERC HOLIDAYS FROM BUSINESS DAYS – THIS WAS DONE IN THE PHYSICAL PPA BUT NOT IN THE MASTER ENERGY]</w:t>
      </w:r>
      <w:r>
        <w:rPr>
          <w:rFonts w:cs="Times New Roman" w:ascii="Times New Roman" w:hAnsi="Times New Roman"/>
          <w:b w:val="false"/>
          <w:i w:val="false"/>
        </w:rPr>
        <w:t xml:space="preserve"> during the Delivery Term, Buyer shall provide Seller with a schedule of the Energy to be purchased by Buyer from Seller hereunder at each Delivery Point during each On-Peak Hour of the following Day (or if the following Day is not a Business Day, then for each On-Peak Hour of the immediately succeeding Business Day).  Buyer shall be obligated to Schedule whole blocks equal to fifty (50) MW’s and any scheduled amount must remain the same for all On-Peak Hours in a given Day (By way of example only, if Buyer wants to Schedule 250 MW’s in a given hour, Buyer must Schedule 250 MW’s for all sixteen On-Peak Hours); and</w:t>
      </w:r>
    </w:p>
    <w:p>
      <w:pPr>
        <w:pStyle w:val="Normal"/>
        <w:rPr>
          <w:rFonts w:ascii="Times New Roman" w:hAnsi="Times New Roman" w:cs="Times New Roman"/>
          <w:b/>
          <w:i/>
          <w:i/>
          <w:sz w:val="24"/>
        </w:rPr>
      </w:pPr>
      <w:r>
        <w:rPr>
          <w:rFonts w:cs="Times New Roman"/>
          <w:b/>
          <w:i/>
          <w:sz w:val="24"/>
        </w:rPr>
      </w:r>
    </w:p>
    <w:p>
      <w:pPr>
        <w:pStyle w:val="Normal"/>
        <w:rPr>
          <w:sz w:val="24"/>
        </w:rPr>
      </w:pPr>
      <w:r>
        <w:rPr>
          <w:sz w:val="24"/>
        </w:rPr>
        <w:t>(b)      Within three (3) hours of Seller’s receipt of Buyer’s schedule pursuant to Subsection (a) above, Seller shall provide to Buyer a confirmation indicating the quantity of Energy that it will provide to each of the Delivery Points and Buyer and Seller shall have finalized all other logistics regarding the timing, quantity and location for delivery of Energy.</w:t>
      </w:r>
      <w:r>
        <w:br w:type="page"/>
      </w:r>
    </w:p>
    <w:p>
      <w:pPr>
        <w:pStyle w:val="Normal"/>
        <w:jc w:val="center"/>
        <w:rPr>
          <w:b/>
          <w:sz w:val="24"/>
        </w:rPr>
      </w:pPr>
      <w:r>
        <w:rPr>
          <w:b/>
          <w:sz w:val="24"/>
        </w:rPr>
        <w:t>EXHIBIT “F”</w:t>
      </w:r>
    </w:p>
    <w:p>
      <w:pPr>
        <w:pStyle w:val="Normal"/>
        <w:jc w:val="center"/>
        <w:rPr>
          <w:b/>
          <w:sz w:val="24"/>
        </w:rPr>
      </w:pPr>
      <w:r>
        <w:rPr>
          <w:b/>
          <w:sz w:val="24"/>
        </w:rPr>
      </w:r>
    </w:p>
    <w:p>
      <w:pPr>
        <w:pStyle w:val="Normal"/>
        <w:jc w:val="center"/>
        <w:rPr>
          <w:b/>
          <w:sz w:val="24"/>
        </w:rPr>
      </w:pPr>
      <w:r>
        <w:rPr>
          <w:b/>
          <w:sz w:val="24"/>
        </w:rPr>
        <w:t>COVER REMEDIES FOR BUYER AND SELLER</w:t>
      </w:r>
    </w:p>
    <w:p>
      <w:pPr>
        <w:pStyle w:val="Index1"/>
        <w:rPr>
          <w:b/>
          <w:sz w:val="24"/>
        </w:rPr>
      </w:pPr>
      <w:r>
        <w:rPr>
          <w:b/>
          <w:sz w:val="24"/>
        </w:rPr>
      </w:r>
    </w:p>
    <w:p>
      <w:pPr>
        <w:pStyle w:val="Heading2"/>
        <w:ind w:hanging="0" w:start="0"/>
        <w:rPr/>
      </w:pPr>
      <w:r>
        <w:rPr>
          <w:rFonts w:cs="Times New Roman" w:ascii="Times New Roman" w:hAnsi="Times New Roman"/>
          <w:i w:val="false"/>
          <w:u w:val="single"/>
        </w:rPr>
        <w:t>Buyer's Cover Remedy for Seller's Failure to Deliver</w:t>
      </w:r>
      <w:r>
        <w:rPr>
          <w:rFonts w:cs="Times New Roman" w:ascii="Times New Roman" w:hAnsi="Times New Roman"/>
          <w:b w:val="false"/>
          <w:i w:val="false"/>
        </w:rPr>
        <w:t>.  Unless excused by Buyer's failure to perform, if Seller fails to schedule and/or deliver all or part of the properly Scheduled Contract Quantity of Energy at each Delivery Point, Seller shall pay Buyer an amount for each unit of Energy in such deficiency equal to the positive difference, if any, obtained by subtracting the Energy Charge from the Replacement Price.  "Replacement Price" shall be calculated as follows:</w:t>
      </w:r>
    </w:p>
    <w:p>
      <w:pPr>
        <w:pStyle w:val="Normal"/>
        <w:rPr>
          <w:sz w:val="24"/>
          <w:u w:val="single"/>
        </w:rPr>
      </w:pPr>
      <w:r>
        <w:rPr>
          <w:sz w:val="24"/>
        </w:rPr>
        <w:tab/>
      </w:r>
    </w:p>
    <w:p>
      <w:pPr>
        <w:pStyle w:val="Normal"/>
        <w:rPr>
          <w:sz w:val="24"/>
        </w:rPr>
      </w:pPr>
      <w:r>
        <w:rPr>
          <w:sz w:val="24"/>
        </w:rPr>
        <w:tab/>
        <w:t>Gleason Delivery Point</w:t>
        <w:tab/>
        <w:tab/>
        <w:t>= [Into TVA]</w:t>
      </w:r>
    </w:p>
    <w:p>
      <w:pPr>
        <w:pStyle w:val="Normal"/>
        <w:rPr>
          <w:sz w:val="24"/>
        </w:rPr>
      </w:pPr>
      <w:r>
        <w:rPr>
          <w:sz w:val="24"/>
        </w:rPr>
        <w:tab/>
        <w:t xml:space="preserve">Lincoln Delivery Point </w:t>
        <w:tab/>
        <w:tab/>
        <w:t>= [Into COMED]</w:t>
      </w:r>
    </w:p>
    <w:p>
      <w:pPr>
        <w:pStyle w:val="Normal"/>
        <w:rPr>
          <w:sz w:val="24"/>
        </w:rPr>
      </w:pPr>
      <w:r>
        <w:rPr>
          <w:sz w:val="24"/>
        </w:rPr>
        <w:tab/>
        <w:t>Wheatland Delivery Point</w:t>
        <w:tab/>
        <w:tab/>
        <w:t>= [Into Cinergy]</w:t>
      </w:r>
    </w:p>
    <w:p>
      <w:pPr>
        <w:pStyle w:val="para"/>
        <w:rPr>
          <w:sz w:val="24"/>
        </w:rPr>
      </w:pPr>
      <w:r>
        <w:rPr>
          <w:sz w:val="24"/>
        </w:rPr>
      </w:r>
    </w:p>
    <w:p>
      <w:pPr>
        <w:pStyle w:val="para"/>
        <w:rPr>
          <w:sz w:val="24"/>
        </w:rPr>
      </w:pPr>
      <w:r>
        <w:rPr>
          <w:sz w:val="24"/>
        </w:rPr>
        <w:t>[THESE NEED TO BE DEFINED IN GREATER DETAIL / ALSO WE NEED TO DISCUSS WHAT WILL HAPPEN IN THE EVENT THAT ONE OF THESE INDICES GOES AWAY OR FAILS, ON A GIVEN DAY, TO PROVIDE A MARKET PRICE]</w:t>
      </w:r>
    </w:p>
    <w:p>
      <w:pPr>
        <w:pStyle w:val="Heading2"/>
        <w:ind w:hanging="0" w:start="0"/>
        <w:rPr>
          <w:rFonts w:ascii="Times New Roman" w:hAnsi="Times New Roman" w:cs="Times New Roman"/>
          <w:b w:val="false"/>
          <w:i w:val="false"/>
          <w:i w:val="false"/>
        </w:rPr>
      </w:pPr>
      <w:r>
        <w:rPr>
          <w:rFonts w:cs="Times New Roman" w:ascii="Times New Roman" w:hAnsi="Times New Roman"/>
          <w:b w:val="false"/>
          <w:i w:val="false"/>
        </w:rPr>
        <w:t>Amounts payable pursuant to this provision shall be payable on or before three (3) Business Days after receipt of an invoice from Buyer.</w:t>
      </w:r>
    </w:p>
    <w:p>
      <w:pPr>
        <w:pStyle w:val="Normal"/>
        <w:rPr>
          <w:rFonts w:ascii="Times New Roman" w:hAnsi="Times New Roman" w:cs="Times New Roman"/>
          <w:b/>
          <w:i/>
          <w:i/>
          <w:sz w:val="24"/>
          <w:u w:val="single"/>
        </w:rPr>
      </w:pPr>
      <w:r>
        <w:rPr>
          <w:rFonts w:cs="Times New Roman"/>
          <w:b/>
          <w:i/>
          <w:sz w:val="24"/>
          <w:u w:val="single"/>
        </w:rPr>
      </w:r>
    </w:p>
    <w:p>
      <w:pPr>
        <w:pStyle w:val="Normal"/>
        <w:rPr>
          <w:b/>
          <w:sz w:val="24"/>
          <w:u w:val="single"/>
        </w:rPr>
      </w:pPr>
      <w:r>
        <w:rPr>
          <w:b/>
          <w:sz w:val="24"/>
          <w:u w:val="single"/>
        </w:rPr>
      </w:r>
    </w:p>
    <w:p>
      <w:pPr>
        <w:pStyle w:val="Normal"/>
        <w:rPr/>
      </w:pPr>
      <w:r>
        <w:rPr>
          <w:b/>
          <w:sz w:val="24"/>
          <w:u w:val="single"/>
        </w:rPr>
        <w:t>Seller's Cover Remedy for Buyer's Failure to Receive</w:t>
      </w:r>
      <w:r>
        <w:rPr>
          <w:sz w:val="24"/>
        </w:rPr>
        <w:t xml:space="preserve">.  Unless excused by Seller's failure to perform, if Buyer fails to schedule and/or receive any amounts of  Scheduled Contract Quantity of Energy at each Delivery Point, Buyer shall pay Seller an amount for each unit of Energy in such deficiency equal to </w:t>
      </w:r>
      <w:r>
        <w:rPr>
          <w:b/>
          <w:sz w:val="24"/>
        </w:rPr>
        <w:t>[the sum of (1)]</w:t>
      </w:r>
      <w:r>
        <w:rPr>
          <w:sz w:val="24"/>
        </w:rPr>
        <w:t xml:space="preserve"> the positive difference, if any, obtained by subtracting the Sales Price (as defined in the Master Agreement) from the Energy Charge</w:t>
      </w:r>
      <w:r>
        <w:rPr>
          <w:b/>
          <w:sz w:val="24"/>
        </w:rPr>
        <w:t>[, and (2) additional costs reasonably incurred by Seller in reselling such Energy not received by Buyer]</w:t>
      </w:r>
      <w:r>
        <w:rPr>
          <w:sz w:val="24"/>
        </w:rPr>
        <w:t>.  Amounts payable pursuant to this provision shall be payable on or before three (3) Business Days after receipt of an invoice from Seller.</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Index1"/>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/mnt/main-storage/datasets/enron-docs/doc/Merrill_Physical_Confirm.doc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i w:val="fals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9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rFonts w:ascii="Times New Roman" w:hAnsi="Times New Roman" w:cs="Times New Roman"/>
      <w:b w:val="false"/>
      <w:i w:val="false"/>
    </w:rPr>
  </w:style>
  <w:style w:type="character" w:styleId="WW8Num8z0">
    <w:name w:val="WW8Num8z0"/>
    <w:qFormat/>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style>
  <w:style w:type="character" w:styleId="WW8Num19z0">
    <w:name w:val="WW8Num19z0"/>
    <w:qFormat/>
    <w:rPr>
      <w:rFonts w:ascii="Times New Roman" w:hAnsi="Times New Roman" w:cs="Times New Roman"/>
      <w:b w:val="false"/>
      <w:i w:val="false"/>
      <w:sz w:val="20"/>
      <w:u w:val="none"/>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style>
  <w:style w:type="character" w:styleId="WW8Num24z0">
    <w:name w:val="WW8Num24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val="false"/>
      <w:i w:val="false"/>
      <w:sz w:val="20"/>
      <w:u w:val="none"/>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z w:val="20"/>
    </w:rPr>
  </w:style>
  <w:style w:type="character" w:styleId="WW8Num37z0">
    <w:name w:val="WW8Num37z0"/>
    <w:qFormat/>
    <w:rPr>
      <w:rFonts w:ascii="Times New Roman" w:hAnsi="Times New Roman" w:cs="Times New Roman"/>
      <w:b/>
      <w:i w:val="false"/>
      <w:sz w:val="20"/>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rFonts w:ascii="Times New Roman" w:hAnsi="Times New Roman" w:cs="Times New Roman"/>
      <w:b/>
      <w:i w:val="false"/>
      <w:sz w:val="20"/>
      <w:u w:val="none"/>
    </w:rPr>
  </w:style>
  <w:style w:type="character" w:styleId="WW8Num41z0">
    <w:name w:val="WW8Num41z0"/>
    <w:qFormat/>
    <w:rPr>
      <w:rFonts w:ascii="Times New Roman" w:hAnsi="Times New Roman" w:cs="Times New Roman"/>
      <w:b w:val="false"/>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4z0">
    <w:name w:val="WW8Num44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i w:val="false"/>
      <w:sz w:val="20"/>
      <w:u w:val="none"/>
    </w:rPr>
  </w:style>
  <w:style w:type="character" w:styleId="WW8Num47z0">
    <w:name w:val="WW8Num47z0"/>
    <w:qFormat/>
    <w:rPr>
      <w:rFonts w:ascii="Times New Roman" w:hAnsi="Times New Roman" w:cs="Times New Roman"/>
      <w:b w:val="false"/>
      <w:i w:val="false"/>
      <w:sz w:val="20"/>
      <w:u w:val="none"/>
    </w:rPr>
  </w:style>
  <w:style w:type="character" w:styleId="WW8Num48z0">
    <w:name w:val="WW8Num48z0"/>
    <w:qFormat/>
    <w:rPr>
      <w:rFonts w:ascii="Times New Roman" w:hAnsi="Times New Roman" w:cs="Times New Roman"/>
      <w:b w:val="false"/>
      <w:i w:val="false"/>
      <w:sz w:val="20"/>
      <w:u w:val="none"/>
    </w:rPr>
  </w:style>
  <w:style w:type="character" w:styleId="WW8Num49z0">
    <w:name w:val="WW8Num49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Justified">
    <w:name w:val="Justified"/>
    <w:basedOn w:val="Normal"/>
    <w:next w:val="Heading2"/>
    <w:qFormat/>
    <w:pPr>
      <w:spacing w:before="0" w:after="120"/>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120" w:after="0"/>
      <w:ind w:firstLine="720" w:start="0" w:end="0"/>
      <w:jc w:val="both"/>
    </w:pPr>
    <w:rPr>
      <w:sz w:val="22"/>
      <w:lang w:eastAsia="en-US"/>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BodyTextIndent2">
    <w:name w:val="Body Text Indent 2"/>
    <w:basedOn w:val="Normal"/>
    <w:qFormat/>
    <w:pPr>
      <w:ind w:hanging="0" w:start="522"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1999-12-27T23:13:00Z</dcterms:created>
  <dc:creator>szisman</dc:creator>
  <dc:description/>
  <dc:language>en-CA</dc:language>
  <cp:lastModifiedBy>szisman</cp:lastModifiedBy>
  <cp:lastPrinted>1999-12-27T22:26:00Z</cp:lastPrinted>
  <dcterms:modified xsi:type="dcterms:W3CDTF">1999-12-28T01:56:00Z</dcterms:modified>
  <cp:revision>7</cp:revision>
  <dc:subject/>
  <dc:title>[DATE]</dc:title>
</cp:coreProperties>
</file>