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May 5,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Merrill Lynch Capital Markets</w:t>
      </w:r>
    </w:p>
    <w:p>
      <w:pPr>
        <w:pStyle w:val="Normal"/>
        <w:jc w:val="both"/>
        <w:rPr>
          <w:rFonts w:ascii="Times New Roman" w:hAnsi="Times New Roman" w:cs="Times New Roman"/>
          <w:sz w:val="22"/>
        </w:rPr>
      </w:pPr>
      <w:r>
        <w:rPr>
          <w:rFonts w:cs="Times New Roman" w:ascii="Times New Roman" w:hAnsi="Times New Roman"/>
          <w:sz w:val="22"/>
        </w:rPr>
        <w:t>200 Crescent Court, Suite 550</w:t>
      </w:r>
    </w:p>
    <w:p>
      <w:pPr>
        <w:pStyle w:val="Normal"/>
        <w:jc w:val="both"/>
        <w:rPr>
          <w:rFonts w:ascii="Times New Roman" w:hAnsi="Times New Roman" w:cs="Times New Roman"/>
          <w:sz w:val="22"/>
        </w:rPr>
      </w:pPr>
      <w:r>
        <w:rPr>
          <w:rFonts w:cs="Times New Roman" w:ascii="Times New Roman" w:hAnsi="Times New Roman"/>
          <w:sz w:val="22"/>
        </w:rPr>
        <w:t>Dallas, TX  75201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Merrill Lynch Capital Markets ("MLCM") and Enron Net Works LLC ("ENW") are prepared to furnish each other with information in connection with the raising of capital for ENW projects (the "Transaction"), which information is confidential or otherwise generally not available to the public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_______________________________________</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Merrill Lynch Capital Markets</w:t>
    </w:r>
  </w:p>
  <w:p>
    <w:pPr>
      <w:pStyle w:val="Header"/>
      <w:rPr>
        <w:rFonts w:ascii="Times New Roman" w:hAnsi="Times New Roman" w:cs="Times New Roman"/>
        <w:sz w:val="22"/>
      </w:rPr>
    </w:pPr>
    <w:r>
      <w:rPr>
        <w:rFonts w:cs="Times New Roman" w:ascii="Times New Roman" w:hAnsi="Times New Roman"/>
        <w:sz w:val="22"/>
      </w:rPr>
      <w:t>May 5, 2000</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2000-05-04T20:55:00Z</dcterms:created>
  <dc:creator>ECT</dc:creator>
  <dc:description/>
  <dc:language>en-CA</dc:language>
  <cp:lastModifiedBy>jelbert</cp:lastModifiedBy>
  <cp:lastPrinted>2000-05-04T18:28:00Z</cp:lastPrinted>
  <dcterms:modified xsi:type="dcterms:W3CDTF">2000-05-05T11:46:00Z</dcterms:modified>
  <cp:revision>5</cp:revision>
  <dc:subject/>
  <dc:title>Reciprocal Confidentiality Agreement</dc:title>
</cp:coreProperties>
</file>