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spacing w:val="-2"/>
          <w:sz w:val="22"/>
          <w:u w:val="single"/>
        </w:rPr>
      </w:pPr>
      <w:r>
        <w:rPr>
          <w:b/>
          <w:spacing w:val="-2"/>
          <w:sz w:val="22"/>
        </w:rPr>
        <w:t>ENRON CORP</w:t>
      </w:r>
      <w:r>
        <w:rPr>
          <w:b/>
          <w:spacing w:val="-2"/>
          <w:sz w:val="22"/>
          <w:u w:val="single"/>
        </w:rPr>
        <w:t>.</w:t>
      </w:r>
      <w:r>
        <mc:AlternateContent>
          <mc:Choice Requires="wps">
            <w:drawing>
              <wp:anchor behindDoc="0" distT="0" distB="0" distL="114935" distR="114935" simplePos="0" locked="0" layoutInCell="1" allowOverlap="1" relativeHeight="2">
                <wp:simplePos x="0" y="0"/>
                <wp:positionH relativeFrom="column">
                  <wp:posOffset>4617720</wp:posOffset>
                </wp:positionH>
                <wp:positionV relativeFrom="paragraph">
                  <wp:posOffset>-822960</wp:posOffset>
                </wp:positionV>
                <wp:extent cx="1554480" cy="365760"/>
                <wp:effectExtent l="0" t="0" r="0" b="0"/>
                <wp:wrapNone/>
                <wp:docPr id="1" name="Frame1"/>
                <a:graphic xmlns:a="http://schemas.openxmlformats.org/drawingml/2006/main">
                  <a:graphicData uri="http://schemas.microsoft.com/office/word/2010/wordprocessingShape">
                    <wps:wsp>
                      <wps:cNvSpPr txBox="1"/>
                      <wps:spPr>
                        <a:xfrm>
                          <a:off x="0" y="0"/>
                          <a:ext cx="1554480" cy="365760"/>
                        </a:xfrm>
                        <a:prstGeom prst="rect"/>
                        <a:solidFill>
                          <a:srgbClr val="FFFFFF">
                            <a:alpha val="0"/>
                          </a:srgbClr>
                        </a:solidFill>
                      </wps:spPr>
                      <wps:txbx>
                        <w:txbxContent>
                          <w:p>
                            <w:pPr>
                              <w:pStyle w:val="Normal"/>
                              <w:rPr>
                                <w:b/>
                                <w:smallCaps/>
                              </w:rPr>
                            </w:pPr>
                            <w:r>
                              <w:rPr>
                                <w:b/>
                                <w:smallCaps/>
                              </w:rPr>
                              <w:t>Execution Copy</w:t>
                            </w:r>
                          </w:p>
                        </w:txbxContent>
                      </wps:txbx>
                      <wps:bodyPr anchor="t" lIns="92075" tIns="46355" rIns="92075" bIns="46355">
                        <a:noAutofit/>
                      </wps:bodyPr>
                    </wps:wsp>
                  </a:graphicData>
                </a:graphic>
              </wp:anchor>
            </w:drawing>
          </mc:Choice>
          <mc:Fallback>
            <w:pict>
              <v:rect fillcolor="#FFFFFF" style="position:absolute;rotation:-0;width:122.4pt;height:28.8pt;mso-wrap-distance-left:9.05pt;mso-wrap-distance-right:9.05pt;mso-wrap-distance-top:0pt;mso-wrap-distance-bottom:0pt;margin-top:-64.8pt;mso-position-vertical-relative:text;margin-left:363.6pt;mso-position-horizontal-relative:text">
                <v:fill opacity="0f"/>
                <v:textbox inset="0.100694444444444in,0.0506944444444444in,0.100694444444444in,0.0506944444444444in">
                  <w:txbxContent>
                    <w:p>
                      <w:pPr>
                        <w:pStyle w:val="Normal"/>
                        <w:rPr>
                          <w:b/>
                          <w:smallCaps/>
                        </w:rPr>
                      </w:pPr>
                      <w:r>
                        <w:rPr>
                          <w:b/>
                          <w:smallCaps/>
                        </w:rPr>
                        <w:t>Execution Copy</w:t>
                      </w:r>
                    </w:p>
                  </w:txbxContent>
                </v:textbox>
                <w10:wrap type="none"/>
              </v:rect>
            </w:pict>
          </mc:Fallback>
        </mc:AlternateContent>
      </w:r>
    </w:p>
    <w:p>
      <w:pPr>
        <w:pStyle w:val="Normal"/>
        <w:suppressAutoHyphens w:val="true"/>
        <w:jc w:val="center"/>
        <w:rPr>
          <w:spacing w:val="-2"/>
          <w:sz w:val="22"/>
          <w:u w:val="single"/>
        </w:rPr>
      </w:pPr>
      <w:r>
        <w:rPr>
          <w:spacing w:val="-2"/>
          <w:sz w:val="22"/>
          <w:u w:val="single"/>
        </w:rPr>
      </w:r>
    </w:p>
    <w:p>
      <w:pPr>
        <w:pStyle w:val="Heading4"/>
        <w:ind w:hanging="0" w:start="0"/>
        <w:rPr>
          <w:u w:val="none"/>
        </w:rPr>
      </w:pPr>
      <w:r>
        <w:rPr>
          <w:u w:val="none"/>
        </w:rPr>
        <w:t>First Amendment to Guarantee Agreement</w:t>
      </w:r>
    </w:p>
    <w:p>
      <w:pPr>
        <w:pStyle w:val="Normal"/>
        <w:suppressAutoHyphens w:val="true"/>
        <w:jc w:val="center"/>
        <w:rPr>
          <w:spacing w:val="-2"/>
          <w:sz w:val="22"/>
          <w:u w:val="none"/>
        </w:rPr>
      </w:pPr>
      <w:r>
        <w:rPr>
          <w:spacing w:val="-2"/>
          <w:sz w:val="22"/>
          <w:u w:val="none"/>
        </w:rPr>
      </w:r>
    </w:p>
    <w:p>
      <w:pPr>
        <w:pStyle w:val="Justified"/>
        <w:jc w:val="both"/>
        <w:rPr/>
      </w:pPr>
      <w:r>
        <w:rPr>
          <w:sz w:val="22"/>
        </w:rPr>
        <w:tab/>
        <w:t>This First Amendment to Guarantee Agreement ("First Amendment") is effective as of the 28</w:t>
      </w:r>
      <w:r>
        <w:rPr>
          <w:sz w:val="22"/>
          <w:vertAlign w:val="superscript"/>
        </w:rPr>
        <w:t>th</w:t>
      </w:r>
      <w:r>
        <w:rPr>
          <w:sz w:val="22"/>
        </w:rPr>
        <w:t xml:space="preserve">  day of December, 1999 and evidences the agreement of Enron Corp. ("Guarantor") and Merrill Lynch Capital Services, Inc. ("Counterparty") to amend the Guarantee Agreement ("Guarantee") dated as of May 3, 1999 issued by Guarantor to Counterparty.</w:t>
      </w:r>
    </w:p>
    <w:p>
      <w:pPr>
        <w:pStyle w:val="Justified"/>
        <w:numPr>
          <w:ilvl w:val="0"/>
          <w:numId w:val="2"/>
        </w:numPr>
        <w:jc w:val="both"/>
        <w:rPr>
          <w:sz w:val="22"/>
        </w:rPr>
      </w:pPr>
      <w:r>
        <w:rPr>
          <w:sz w:val="22"/>
        </w:rPr>
        <w:t>All references in any writing related to the Guarantee shall be to the Guarantee as amended hereby.</w:t>
      </w:r>
    </w:p>
    <w:p>
      <w:pPr>
        <w:pStyle w:val="Justified"/>
        <w:numPr>
          <w:ilvl w:val="0"/>
          <w:numId w:val="2"/>
        </w:numPr>
        <w:jc w:val="both"/>
        <w:rPr>
          <w:sz w:val="22"/>
        </w:rPr>
      </w:pPr>
      <w:r>
        <w:rPr>
          <w:sz w:val="22"/>
        </w:rPr>
        <w:t>The following provisions replace and restate in its entirety the first WHEREAS Clause and insert one additional WHEREAS clause in the recitals of the Guarantee:</w:t>
      </w:r>
    </w:p>
    <w:p>
      <w:pPr>
        <w:pStyle w:val="Justified"/>
        <w:ind w:start="720" w:end="0"/>
        <w:jc w:val="both"/>
        <w:rPr/>
      </w:pPr>
      <w:r>
        <w:rPr>
          <w:spacing w:val="-2"/>
          <w:sz w:val="22"/>
        </w:rPr>
        <w:t xml:space="preserve">WHEREAS, </w:t>
      </w:r>
      <w:r>
        <w:rPr>
          <w:sz w:val="22"/>
        </w:rPr>
        <w:t>Enron Power Marketing, Inc. (the "Company") entered into a Master Energy Purchase and Sale Agreement (the "Physical Agreement") effective as of the date of the Guarantee with Merrill Lynch Capital Services, Inc. ("Counterparty") pursuant to which Company and Counterparty may enter into transactions related to the purchase and sale of energy</w:t>
      </w:r>
      <w:r>
        <w:rPr>
          <w:spacing w:val="-2"/>
          <w:sz w:val="22"/>
        </w:rPr>
        <w:t>; and</w:t>
      </w:r>
    </w:p>
    <w:p>
      <w:pPr>
        <w:pStyle w:val="Normal"/>
        <w:ind w:start="720" w:end="0"/>
        <w:jc w:val="both"/>
        <w:rPr/>
      </w:pPr>
      <w:r>
        <w:rPr>
          <w:spacing w:val="-2"/>
          <w:sz w:val="22"/>
        </w:rPr>
        <w:t xml:space="preserve">WHEREAS, the </w:t>
      </w:r>
      <w:r>
        <w:rPr>
          <w:sz w:val="22"/>
        </w:rPr>
        <w:t>Company will enter into an ISDA Master Agreement (the "ISDA Agreement") effective as of the date of this First Amendment with Counterparty, pursuant to which Company and Counterparty may enter into transactions related to financially settled derivatives transactions</w:t>
      </w:r>
      <w:r>
        <w:rPr>
          <w:spacing w:val="-2"/>
          <w:sz w:val="22"/>
        </w:rPr>
        <w:t xml:space="preserve"> (</w:t>
      </w:r>
      <w:r>
        <w:rPr>
          <w:sz w:val="22"/>
        </w:rPr>
        <w:t>the Physical Agreement and the ISDA Agreement referenced individually or collectively, as the meaning shall require,</w:t>
      </w:r>
      <w:r>
        <w:rPr>
          <w:spacing w:val="-2"/>
          <w:sz w:val="22"/>
        </w:rPr>
        <w:t xml:space="preserve"> </w:t>
      </w:r>
      <w:r>
        <w:rPr>
          <w:sz w:val="22"/>
        </w:rPr>
        <w:t>in the remainder of the Guarantee as “Agreement”)</w:t>
      </w:r>
      <w:r>
        <w:rPr>
          <w:spacing w:val="-2"/>
          <w:sz w:val="22"/>
        </w:rPr>
        <w:t xml:space="preserve"> and</w:t>
      </w:r>
    </w:p>
    <w:p>
      <w:pPr>
        <w:pStyle w:val="Footer"/>
        <w:tabs>
          <w:tab w:val="clear" w:pos="4320"/>
          <w:tab w:val="clear" w:pos="8640"/>
        </w:tabs>
        <w:rPr>
          <w:spacing w:val="-2"/>
          <w:sz w:val="22"/>
        </w:rPr>
      </w:pPr>
      <w:r>
        <w:rPr>
          <w:spacing w:val="-2"/>
          <w:sz w:val="22"/>
        </w:rPr>
      </w:r>
    </w:p>
    <w:p>
      <w:pPr>
        <w:pStyle w:val="Justified"/>
        <w:numPr>
          <w:ilvl w:val="0"/>
          <w:numId w:val="2"/>
        </w:numPr>
        <w:jc w:val="both"/>
        <w:rPr>
          <w:sz w:val="22"/>
        </w:rPr>
      </w:pPr>
      <w:r>
        <w:rPr>
          <w:sz w:val="22"/>
        </w:rPr>
        <w:t>The following provision replaces and restates in its entirety Section 1(b) of the Guarantee:</w:t>
      </w:r>
    </w:p>
    <w:p>
      <w:pPr>
        <w:pStyle w:val="Justified"/>
        <w:ind w:start="720" w:end="0"/>
        <w:jc w:val="both"/>
        <w:rPr>
          <w:spacing w:val="-2"/>
          <w:sz w:val="22"/>
        </w:rPr>
      </w:pPr>
      <w:r>
        <w:rPr>
          <w:spacing w:val="-2"/>
          <w:sz w:val="22"/>
        </w:rPr>
        <w:t>(b)</w:t>
        <w:tab/>
        <w:t>The aggregate amount covered by this Guarantee shall not exceed Sixty Million U.S. Dollars ($60,000,000).</w:t>
      </w:r>
    </w:p>
    <w:p>
      <w:pPr>
        <w:pStyle w:val="Justified"/>
        <w:jc w:val="both"/>
        <w:rPr>
          <w:sz w:val="22"/>
        </w:rPr>
      </w:pPr>
      <w:r>
        <w:rPr>
          <w:sz w:val="22"/>
        </w:rPr>
        <w:t>4.</w:t>
        <w:tab/>
        <w:t>All other terms of the Guarantee shall remain the same.</w:t>
      </w:r>
    </w:p>
    <w:p>
      <w:pPr>
        <w:pStyle w:val="Justified"/>
        <w:keepNext w:val="true"/>
        <w:keepLines/>
        <w:jc w:val="both"/>
        <w:rPr>
          <w:sz w:val="22"/>
        </w:rPr>
      </w:pPr>
      <w:r>
        <w:rPr>
          <w:sz w:val="22"/>
        </w:rPr>
        <w:t>EXECUTED as of the day and year first above written.</w:t>
      </w:r>
    </w:p>
    <w:p>
      <w:pPr>
        <w:pStyle w:val="Normal"/>
        <w:keepNext w:val="true"/>
        <w:keepLines/>
        <w:suppressAutoHyphens w:val="true"/>
        <w:jc w:val="both"/>
        <w:rPr>
          <w:spacing w:val="-2"/>
          <w:sz w:val="22"/>
        </w:rPr>
      </w:pPr>
      <w:r>
        <w:rPr>
          <w:spacing w:val="-2"/>
          <w:sz w:val="22"/>
        </w:rPr>
      </w:r>
    </w:p>
    <w:p>
      <w:pPr>
        <w:pStyle w:val="Normal"/>
        <w:keepNext w:val="true"/>
        <w:keepLines/>
        <w:tabs>
          <w:tab w:val="clear" w:pos="720"/>
          <w:tab w:val="left" w:pos="5040" w:leader="none"/>
          <w:tab w:val="left" w:pos="9180" w:leader="none"/>
        </w:tabs>
        <w:suppressAutoHyphens w:val="true"/>
        <w:jc w:val="both"/>
        <w:rPr>
          <w:spacing w:val="-2"/>
          <w:sz w:val="22"/>
        </w:rPr>
      </w:pPr>
      <w:r>
        <w:rPr>
          <w:b/>
          <w:spacing w:val="-2"/>
          <w:sz w:val="22"/>
        </w:rPr>
        <w:tab/>
        <w:t>ENRON CORP.</w:t>
      </w:r>
    </w:p>
    <w:p>
      <w:pPr>
        <w:pStyle w:val="Normal"/>
        <w:keepNext w:val="true"/>
        <w:keepLines/>
        <w:tabs>
          <w:tab w:val="clear" w:pos="720"/>
          <w:tab w:val="left" w:pos="5040" w:leader="none"/>
          <w:tab w:val="left" w:pos="9180" w:leader="none"/>
        </w:tabs>
        <w:suppressAutoHyphens w:val="true"/>
        <w:jc w:val="both"/>
        <w:rPr>
          <w:spacing w:val="-2"/>
          <w:sz w:val="22"/>
        </w:rPr>
      </w:pPr>
      <w:r>
        <w:rPr>
          <w:spacing w:val="-2"/>
          <w:sz w:val="22"/>
        </w:rPr>
      </w:r>
    </w:p>
    <w:p>
      <w:pPr>
        <w:pStyle w:val="Normal"/>
        <w:keepNext w:val="true"/>
        <w:keepLines/>
        <w:tabs>
          <w:tab w:val="clear" w:pos="720"/>
          <w:tab w:val="left" w:pos="5040" w:leader="none"/>
          <w:tab w:val="left" w:pos="9180" w:leader="none"/>
        </w:tabs>
        <w:suppressAutoHyphens w:val="true"/>
        <w:jc w:val="both"/>
        <w:rPr>
          <w:spacing w:val="-2"/>
          <w:sz w:val="22"/>
        </w:rPr>
      </w:pPr>
      <w:r>
        <w:rPr>
          <w:spacing w:val="-2"/>
          <w:sz w:val="22"/>
        </w:rPr>
      </w:r>
    </w:p>
    <w:p>
      <w:pPr>
        <w:pStyle w:val="Normal"/>
        <w:keepNext w:val="true"/>
        <w:keepLines/>
        <w:tabs>
          <w:tab w:val="clear" w:pos="720"/>
          <w:tab w:val="left" w:pos="5040" w:leader="none"/>
          <w:tab w:val="left" w:pos="8910" w:leader="none"/>
        </w:tabs>
        <w:suppressAutoHyphens w:val="true"/>
        <w:spacing w:before="120" w:after="0"/>
        <w:jc w:val="both"/>
        <w:rPr>
          <w:spacing w:val="-2"/>
          <w:sz w:val="22"/>
        </w:rPr>
      </w:pPr>
      <w:r>
        <w:rPr>
          <w:spacing w:val="-2"/>
          <w:sz w:val="22"/>
        </w:rPr>
        <w:tab/>
        <w:t>By:</w:t>
      </w:r>
      <w:r>
        <w:rPr>
          <w:spacing w:val="-2"/>
          <w:sz w:val="22"/>
          <w:u w:val="single"/>
        </w:rPr>
        <w:tab/>
      </w:r>
    </w:p>
    <w:p>
      <w:pPr>
        <w:pStyle w:val="Normal"/>
        <w:keepNext w:val="true"/>
        <w:keepLines/>
        <w:tabs>
          <w:tab w:val="clear" w:pos="720"/>
          <w:tab w:val="left" w:pos="-1440" w:leader="none"/>
          <w:tab w:val="left" w:pos="-720" w:leader="none"/>
          <w:tab w:val="left" w:pos="5040" w:leader="none"/>
          <w:tab w:val="left" w:pos="8910" w:leader="none"/>
        </w:tabs>
        <w:suppressAutoHyphens w:val="true"/>
        <w:spacing w:before="120" w:after="120"/>
        <w:jc w:val="both"/>
        <w:rPr>
          <w:spacing w:val="-2"/>
          <w:sz w:val="22"/>
        </w:rPr>
      </w:pPr>
      <w:r>
        <w:rPr>
          <w:spacing w:val="-2"/>
          <w:sz w:val="22"/>
        </w:rPr>
        <w:tab/>
        <w:t>Name:</w:t>
      </w:r>
      <w:r>
        <w:rPr>
          <w:spacing w:val="-2"/>
          <w:sz w:val="22"/>
          <w:u w:val="single"/>
        </w:rPr>
        <w:tab/>
      </w:r>
    </w:p>
    <w:p>
      <w:pPr>
        <w:pStyle w:val="Normal"/>
        <w:tabs>
          <w:tab w:val="clear" w:pos="720"/>
          <w:tab w:val="left" w:pos="5040" w:leader="none"/>
          <w:tab w:val="left" w:pos="8910" w:leader="none"/>
        </w:tabs>
        <w:jc w:val="both"/>
        <w:rPr>
          <w:spacing w:val="-2"/>
          <w:sz w:val="22"/>
        </w:rPr>
      </w:pPr>
      <w:r>
        <w:rPr>
          <w:spacing w:val="-2"/>
          <w:sz w:val="22"/>
        </w:rPr>
        <w:tab/>
        <w:t>Title:</w:t>
      </w:r>
      <w:r>
        <w:rPr>
          <w:spacing w:val="-2"/>
          <w:sz w:val="22"/>
          <w:u w:val="single"/>
        </w:rPr>
        <w:tab/>
      </w:r>
    </w:p>
    <w:p>
      <w:pPr>
        <w:pStyle w:val="Normal"/>
        <w:jc w:val="both"/>
        <w:rPr>
          <w:spacing w:val="-2"/>
          <w:sz w:val="22"/>
        </w:rPr>
      </w:pPr>
      <w:r>
        <w:rPr>
          <w:spacing w:val="-2"/>
          <w:sz w:val="22"/>
        </w:rPr>
      </w:r>
    </w:p>
    <w:p>
      <w:pPr>
        <w:pStyle w:val="Normal"/>
        <w:jc w:val="both"/>
        <w:rPr>
          <w:sz w:val="22"/>
        </w:rPr>
      </w:pPr>
      <w:r>
        <w:rPr>
          <w:sz w:val="22"/>
        </w:rPr>
      </w:r>
    </w:p>
    <w:p>
      <w:pPr>
        <w:pStyle w:val="Normal"/>
        <w:jc w:val="both"/>
        <w:rPr>
          <w:b/>
          <w:sz w:val="22"/>
        </w:rPr>
      </w:pPr>
      <w:r>
        <w:rPr>
          <w:b/>
          <w:sz w:val="22"/>
        </w:rPr>
        <w:t>MERRILL LYNCH CAPITAL SERVICES, INC.</w:t>
      </w:r>
    </w:p>
    <w:p>
      <w:pPr>
        <w:pStyle w:val="Normal"/>
        <w:jc w:val="both"/>
        <w:rPr>
          <w:b/>
          <w:sz w:val="22"/>
        </w:rPr>
      </w:pPr>
      <w:r>
        <w:rPr>
          <w:b/>
          <w:sz w:val="22"/>
        </w:rPr>
      </w:r>
    </w:p>
    <w:p>
      <w:pPr>
        <w:pStyle w:val="Normal"/>
        <w:jc w:val="both"/>
        <w:rPr>
          <w:sz w:val="22"/>
        </w:rPr>
      </w:pPr>
      <w:r>
        <w:rPr>
          <w:sz w:val="22"/>
        </w:rPr>
      </w:r>
    </w:p>
    <w:p>
      <w:pPr>
        <w:pStyle w:val="Normal"/>
        <w:tabs>
          <w:tab w:val="clear" w:pos="720"/>
          <w:tab w:val="left" w:pos="4140" w:leader="none"/>
        </w:tabs>
        <w:jc w:val="both"/>
        <w:rPr>
          <w:sz w:val="22"/>
        </w:rPr>
      </w:pPr>
      <w:r>
        <w:rPr>
          <w:sz w:val="22"/>
        </w:rPr>
        <w:t xml:space="preserve">By:  </w:t>
      </w:r>
      <w:r>
        <w:rPr>
          <w:sz w:val="22"/>
          <w:u w:val="single"/>
        </w:rPr>
        <w:tab/>
      </w:r>
    </w:p>
    <w:p>
      <w:pPr>
        <w:pStyle w:val="Normal"/>
        <w:tabs>
          <w:tab w:val="clear" w:pos="720"/>
          <w:tab w:val="left" w:pos="4140" w:leader="none"/>
        </w:tabs>
        <w:jc w:val="both"/>
        <w:rPr>
          <w:sz w:val="22"/>
        </w:rPr>
      </w:pPr>
      <w:r>
        <w:rPr>
          <w:sz w:val="22"/>
        </w:rPr>
        <w:t xml:space="preserve">Name:  </w:t>
      </w:r>
      <w:r>
        <w:rPr>
          <w:sz w:val="22"/>
          <w:u w:val="single"/>
        </w:rPr>
        <w:tab/>
      </w:r>
    </w:p>
    <w:p>
      <w:pPr>
        <w:pStyle w:val="Normal"/>
        <w:tabs>
          <w:tab w:val="clear" w:pos="720"/>
          <w:tab w:val="left" w:pos="4140" w:leader="none"/>
        </w:tabs>
        <w:jc w:val="both"/>
        <w:rPr/>
      </w:pPr>
      <w:r>
        <w:rPr>
          <w:sz w:val="22"/>
        </w:rPr>
        <w:t xml:space="preserve">Title:  </w:t>
      </w:r>
      <w:r>
        <w:rPr>
          <w:sz w:val="22"/>
          <w:u w:val="single"/>
        </w:rPr>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/mnt/main-storage/datasets/enron-docs/doc/Merrill_Guaranty_Amend_1.doc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Normal"/>
    <w:next w:val="Normal"/>
    <w:qFormat/>
    <w:pPr>
      <w:keepNext w:val="true"/>
      <w:numPr>
        <w:ilvl w:val="3"/>
        <w:numId w:val="1"/>
      </w:numPr>
      <w:suppressAutoHyphens w:val="true"/>
      <w:jc w:val="center"/>
      <w:outlineLvl w:val="3"/>
    </w:pPr>
    <w:rPr>
      <w:b/>
      <w:spacing w:val="-2"/>
      <w:sz w:val="22"/>
      <w:u w:val="single"/>
    </w:rPr>
  </w:style>
  <w:style w:type="character" w:styleId="WW8Num1z0">
    <w:name w:val="WW8Num1z0"/>
    <w:qFormat/>
    <w:rPr/>
  </w:style>
  <w:style w:type="character" w:styleId="WW8Num2z0">
    <w:name w:val="WW8Num2z0"/>
    <w:qFormat/>
    <w:rPr>
      <w:sz w:val="20"/>
    </w:rPr>
  </w:style>
  <w:style w:type="character" w:styleId="DefaultParagraphFont">
    <w:name w:val="Default Paragraph Font"/>
    <w:qFormat/>
    <w:rPr/>
  </w:style>
  <w:style w:type="character" w:styleId="PageNumber">
    <w:name w:val="page number"/>
    <w:basedOn w:val="DefaultParagraphFont"/>
    <w:rPr>
      <w:sz w:val="22"/>
    </w:rPr>
  </w:style>
  <w:style w:type="paragraph" w:styleId="Heading">
    <w:name w:val="Heading"/>
    <w:basedOn w:val="Normal"/>
    <w:next w:val="BodyText"/>
    <w:qFormat/>
    <w:pPr>
      <w:spacing w:lineRule="atLeast" w:line="240"/>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x3">
    <w:name w:val="index 3"/>
    <w:basedOn w:val="Normal"/>
    <w:next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pPr>
    <w:rPr/>
  </w:style>
  <w:style w:type="paragraph" w:styleId="TOC6">
    <w:name w:val="toc 6"/>
    <w:basedOn w:val="Normal"/>
    <w:pPr>
      <w:tabs>
        <w:tab w:val="clear" w:pos="720"/>
        <w:tab w:val="left" w:pos="8280" w:leader="dot"/>
        <w:tab w:val="right" w:pos="8640" w:leader="none"/>
      </w:tabs>
      <w:spacing w:lineRule="atLeast" w:line="240" w:before="0" w:after="240"/>
      <w:ind w:hanging="0" w:start="0" w:end="720"/>
    </w:pPr>
    <w:rPr>
      <w:sz w:val="24"/>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1999-12-28T14:35:00Z</dcterms:created>
  <dc:creator>dportz</dc:creator>
  <dc:description/>
  <dc:language>en-CA</dc:language>
  <cp:lastModifiedBy>Brenda Whitehead</cp:lastModifiedBy>
  <cp:lastPrinted>1999-12-29T14:38:00Z</cp:lastPrinted>
  <dcterms:modified xsi:type="dcterms:W3CDTF">1999-12-29T18:08:00Z</dcterms:modified>
  <cp:revision>45</cp:revision>
  <dc:subject/>
  <dc:title>MASTER ENERGY PURCHASE AND SALE AGREEMENT</dc:title>
</cp:coreProperties>
</file>