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widowControl/>
              <w:tabs>
                <w:tab w:val="clear" w:pos="4320"/>
                <w:tab w:val="clear" w:pos="8640"/>
              </w:tabs>
              <w:rPr>
                <w:sz w:val="22"/>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3">
                      <wp:simplePos x="0" y="0"/>
                      <wp:positionH relativeFrom="margin">
                        <wp:posOffset>4846320</wp:posOffset>
                      </wp:positionH>
                      <wp:positionV relativeFrom="paragraph">
                        <wp:posOffset>-883920</wp:posOffset>
                      </wp:positionV>
                      <wp:extent cx="1554480" cy="365760"/>
                      <wp:effectExtent l="0" t="0" r="0" b="0"/>
                      <wp:wrapNone/>
                      <wp:docPr id="2" name="Frame1"/>
                      <a:graphic xmlns:a="http://schemas.openxmlformats.org/drawingml/2006/main">
                        <a:graphicData uri="http://schemas.microsoft.com/office/word/2010/wordprocessingShape">
                          <wps:wsp>
                            <wps:cNvSpPr txBox="1"/>
                            <wps:spPr>
                              <a:xfrm>
                                <a:off x="0" y="0"/>
                                <a:ext cx="1554480" cy="365760"/>
                              </a:xfrm>
                              <a:prstGeom prst="rect"/>
                              <a:solidFill>
                                <a:srgbClr val="FFFFFF">
                                  <a:alpha val="0"/>
                                </a:srgbClr>
                              </a:solidFill>
                            </wps:spPr>
                            <wps:txbx>
                              <w:txbxContent>
                                <w:p>
                                  <w:pPr>
                                    <w:pStyle w:val="Normal"/>
                                    <w:rPr>
                                      <w:b/>
                                      <w:smallCaps/>
                                    </w:rPr>
                                  </w:pPr>
                                  <w:r>
                                    <w:rPr>
                                      <w:b/>
                                      <w:smallCaps/>
                                    </w:rPr>
                                    <w:t>Execution Copy</w:t>
                                  </w:r>
                                </w:p>
                              </w:txbxContent>
                            </wps:txbx>
                            <wps:bodyPr anchor="t" lIns="92075" tIns="46355" rIns="92075" bIns="46355">
                              <a:noAutofit/>
                            </wps:bodyPr>
                          </wps:wsp>
                        </a:graphicData>
                      </a:graphic>
                    </wp:anchor>
                  </w:drawing>
                </mc:Choice>
                <mc:Fallback>
                  <w:pict>
                    <v:rect fillcolor="#FFFFFF" style="position:absolute;rotation:-0;width:122.4pt;height:28.8pt;mso-wrap-distance-left:9.05pt;mso-wrap-distance-right:9.05pt;mso-wrap-distance-top:0pt;mso-wrap-distance-bottom:0pt;margin-top:-69.6pt;mso-position-vertical-relative:text;margin-left:381.6pt;mso-position-horizontal-relative:margin">
                      <v:fill opacity="0f"/>
                      <v:textbox inset="0.100694444444444in,0.0506944444444444in,0.100694444444444in,0.0506944444444444in">
                        <w:txbxContent>
                          <w:p>
                            <w:pPr>
                              <w:pStyle w:val="Normal"/>
                              <w:rPr>
                                <w:b/>
                                <w:smallCaps/>
                              </w:rPr>
                            </w:pPr>
                            <w:r>
                              <w:rPr>
                                <w:b/>
                                <w:smallCaps/>
                              </w:rPr>
                              <w:t>Execution Copy</w:t>
                            </w:r>
                          </w:p>
                        </w:txbxContent>
                      </v:textbox>
                      <w10:wrap type="none"/>
                    </v:rect>
                  </w:pict>
                </mc:Fallback>
              </mc:AlternateContent>
            </w:r>
          </w:p>
        </w:tc>
        <w:tc>
          <w:tcPr>
            <w:tcW w:w="4842" w:type="dxa"/>
            <w:tcBorders/>
          </w:tcPr>
          <w:p>
            <w:pPr>
              <w:pStyle w:val="BodyTextIndent2"/>
              <w:widowControl/>
              <w:ind w:firstLine="1764" w:start="0" w:end="0"/>
              <w:jc w:val="start"/>
              <w:rPr/>
            </w:pPr>
            <w:r>
              <w:rPr/>
              <w:t>Enron Power Marketing, Inc.</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widowControl/>
        <w:tabs>
          <w:tab w:val="clear" w:pos="720"/>
          <w:tab w:val="left" w:pos="6480" w:leader="none"/>
        </w:tabs>
        <w:rPr>
          <w:sz w:val="22"/>
        </w:rPr>
      </w:pPr>
      <w:r>
        <w:rPr>
          <w:sz w:val="22"/>
        </w:rPr>
      </w:r>
    </w:p>
    <w:p>
      <w:pPr>
        <w:pStyle w:val="Heading1"/>
        <w:widowControl/>
        <w:ind w:hanging="0" w:start="0"/>
        <w:rPr/>
      </w:pPr>
      <w:r>
        <w:rPr/>
        <w:t xml:space="preserve">CONFIRMATION </w:t>
      </w:r>
    </w:p>
    <w:p>
      <w:pPr>
        <w:pStyle w:val="Normal"/>
        <w:widowControl/>
        <w:tabs>
          <w:tab w:val="clear" w:pos="720"/>
          <w:tab w:val="left" w:pos="6480" w:leader="none"/>
        </w:tabs>
        <w:jc w:val="center"/>
        <w:rPr>
          <w:b/>
          <w:sz w:val="22"/>
        </w:rPr>
      </w:pPr>
      <w:r>
        <w:rPr>
          <w:b/>
          <w:sz w:val="22"/>
        </w:rPr>
        <w:t>(DAILY CALL OPTION)</w:t>
      </w:r>
    </w:p>
    <w:p>
      <w:pPr>
        <w:pStyle w:val="Normal"/>
        <w:widowControl/>
        <w:tabs>
          <w:tab w:val="clear" w:pos="720"/>
          <w:tab w:val="left" w:pos="6480" w:leader="none"/>
        </w:tabs>
        <w:rPr>
          <w:b/>
          <w:sz w:val="22"/>
        </w:rPr>
      </w:pPr>
      <w:r>
        <w:rPr>
          <w:b/>
          <w:sz w:val="22"/>
        </w:rPr>
      </w:r>
    </w:p>
    <w:p>
      <w:pPr>
        <w:pStyle w:val="Normal"/>
        <w:widowControl/>
        <w:tabs>
          <w:tab w:val="clear" w:pos="720"/>
          <w:tab w:val="left" w:pos="6480" w:leader="none"/>
        </w:tabs>
        <w:rPr>
          <w:sz w:val="22"/>
        </w:rPr>
      </w:pPr>
      <w:r>
        <w:rPr>
          <w:sz w:val="22"/>
        </w:rPr>
      </w:r>
    </w:p>
    <w:p>
      <w:pPr>
        <w:pStyle w:val="Normal"/>
        <w:widowControl/>
        <w:tabs>
          <w:tab w:val="clear" w:pos="720"/>
          <w:tab w:val="left" w:pos="2160" w:leader="none"/>
          <w:tab w:val="left" w:pos="6480" w:leader="none"/>
        </w:tabs>
        <w:ind w:start="-720" w:end="0"/>
        <w:rPr>
          <w:sz w:val="22"/>
        </w:rPr>
      </w:pPr>
      <w:r>
        <w:rPr>
          <w:sz w:val="22"/>
        </w:rPr>
        <w:t>Date:</w:t>
        <w:tab/>
        <w:t>December 28, 1999</w:t>
      </w:r>
    </w:p>
    <w:p>
      <w:pPr>
        <w:pStyle w:val="Normal"/>
        <w:widowControl/>
        <w:tabs>
          <w:tab w:val="clear" w:pos="720"/>
          <w:tab w:val="left" w:pos="2160" w:leader="none"/>
          <w:tab w:val="left" w:pos="6480" w:leader="none"/>
        </w:tabs>
        <w:ind w:start="-720" w:end="0"/>
        <w:rPr>
          <w:sz w:val="22"/>
        </w:rPr>
      </w:pPr>
      <w:r>
        <w:rPr>
          <w:sz w:val="22"/>
        </w:rPr>
        <w:t>To:</w:t>
        <w:tab/>
        <w:t>Merrill Lynch Capital Services, Inc. ("Counterparty")</w:t>
      </w:r>
    </w:p>
    <w:p>
      <w:pPr>
        <w:pStyle w:val="Normal"/>
        <w:widowControl/>
        <w:tabs>
          <w:tab w:val="clear" w:pos="720"/>
          <w:tab w:val="left" w:pos="2160" w:leader="none"/>
          <w:tab w:val="left" w:pos="6480" w:leader="none"/>
        </w:tabs>
        <w:ind w:start="-720" w:end="0"/>
        <w:rPr>
          <w:sz w:val="22"/>
        </w:rPr>
      </w:pPr>
      <w:r>
        <w:rPr>
          <w:sz w:val="22"/>
        </w:rPr>
        <w:t>Attention:</w:t>
        <w:tab/>
        <w:t>John Protano – Global Power Trading Operations</w:t>
      </w:r>
    </w:p>
    <w:p>
      <w:pPr>
        <w:pStyle w:val="Normal"/>
        <w:widowControl/>
        <w:tabs>
          <w:tab w:val="clear" w:pos="720"/>
          <w:tab w:val="left" w:pos="2160" w:leader="none"/>
          <w:tab w:val="left" w:pos="6480" w:leader="none"/>
        </w:tabs>
        <w:ind w:start="-720" w:end="0"/>
        <w:rPr>
          <w:sz w:val="22"/>
        </w:rPr>
      </w:pPr>
      <w:r>
        <w:rPr>
          <w:sz w:val="22"/>
        </w:rPr>
        <w:t>Fax No.:</w:t>
        <w:tab/>
        <w:t>212-449-0762</w:t>
      </w:r>
    </w:p>
    <w:p>
      <w:pPr>
        <w:pStyle w:val="Normal"/>
        <w:widowControl/>
        <w:tabs>
          <w:tab w:val="clear" w:pos="720"/>
          <w:tab w:val="left" w:pos="2160" w:leader="none"/>
          <w:tab w:val="left" w:pos="6480" w:leader="none"/>
        </w:tabs>
        <w:ind w:start="-720" w:end="0"/>
        <w:rPr>
          <w:sz w:val="22"/>
        </w:rPr>
      </w:pPr>
      <w:r>
        <w:rPr>
          <w:sz w:val="22"/>
        </w:rPr>
        <w:t>From:</w:t>
        <w:tab/>
        <w:t>Enron Power Marketing, Inc. ("EPMI")</w:t>
      </w:r>
    </w:p>
    <w:p>
      <w:pPr>
        <w:pStyle w:val="Normal"/>
        <w:widowControl/>
        <w:tabs>
          <w:tab w:val="clear" w:pos="720"/>
          <w:tab w:val="left" w:pos="2160" w:leader="none"/>
          <w:tab w:val="left" w:pos="6480" w:leader="none"/>
        </w:tabs>
        <w:ind w:start="-720" w:end="0"/>
        <w:rPr/>
      </w:pPr>
      <w:r>
        <w:rPr>
          <w:sz w:val="22"/>
        </w:rPr>
        <w:t>Re:</w:t>
        <w:tab/>
        <w:t xml:space="preserve">Option EPMI Deal No. </w:t>
      </w:r>
      <w:r>
        <w:rPr>
          <w:sz w:val="22"/>
          <w:u w:val="single"/>
        </w:rPr>
        <w:tab/>
      </w:r>
    </w:p>
    <w:p>
      <w:pPr>
        <w:pStyle w:val="Normal"/>
        <w:widowControl/>
        <w:tabs>
          <w:tab w:val="clear" w:pos="720"/>
          <w:tab w:val="left" w:pos="2160" w:leader="none"/>
          <w:tab w:val="left" w:pos="6480" w:leader="none"/>
        </w:tabs>
        <w:ind w:start="-720" w:end="0"/>
        <w:rPr>
          <w:sz w:val="22"/>
          <w:u w:val="single"/>
        </w:rPr>
      </w:pPr>
      <w:r>
        <w:rPr>
          <w:sz w:val="22"/>
          <w:u w:val="single"/>
        </w:rPr>
      </w:r>
    </w:p>
    <w:p>
      <w:pPr>
        <w:pStyle w:val="BodyTextIndent"/>
        <w:widowControl/>
        <w:rPr>
          <w:sz w:val="22"/>
        </w:rPr>
      </w:pPr>
      <w:r>
        <w:rPr>
          <w:sz w:val="22"/>
        </w:rPr>
      </w:r>
    </w:p>
    <w:p>
      <w:pPr>
        <w:pStyle w:val="BodyTextIndent"/>
        <w:widowControl/>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widowControl/>
        <w:rPr>
          <w:sz w:val="22"/>
        </w:rPr>
      </w:pPr>
      <w:r>
        <w:rPr>
          <w:sz w:val="22"/>
        </w:rPr>
      </w:r>
    </w:p>
    <w:p>
      <w:pPr>
        <w:pStyle w:val="BodyTextIndent"/>
        <w:widowControl/>
        <w:rPr>
          <w:sz w:val="22"/>
        </w:rPr>
      </w:pPr>
      <w:r>
        <w:rPr>
          <w:sz w:val="22"/>
        </w:rPr>
        <w:tab/>
        <w:t xml:space="preserve">1.  This Confirmation supplements, forms part of, and is subject to an ISDA Master Agreement, dated as of December 28, 1999, as amended and supplemented from time to time (the "Agreement"), between you and us.  All provisions contained in the Agreement govern this Confirmation except as expressly modified below. </w:t>
      </w:r>
    </w:p>
    <w:p>
      <w:pPr>
        <w:pStyle w:val="BodyTextIndent"/>
        <w:widowControl/>
        <w:rPr>
          <w:sz w:val="22"/>
        </w:rPr>
      </w:pPr>
      <w:r>
        <w:rPr>
          <w:sz w:val="22"/>
        </w:rPr>
      </w:r>
    </w:p>
    <w:p>
      <w:pPr>
        <w:pStyle w:val="BodyTextIndent"/>
        <w:widowControl/>
        <w:rPr>
          <w:sz w:val="22"/>
        </w:rPr>
      </w:pPr>
      <w:r>
        <w:rPr>
          <w:sz w:val="22"/>
        </w:rPr>
        <w:tab/>
        <w:t>2.  The terms of the particular Transaction to which this Confirmation relates are as follows:</w:t>
      </w:r>
    </w:p>
    <w:p>
      <w:pPr>
        <w:pStyle w:val="BodyTextIndent"/>
        <w:widowControl/>
        <w:rPr>
          <w:sz w:val="22"/>
        </w:rPr>
      </w:pPr>
      <w:r>
        <w:rPr>
          <w:sz w:val="22"/>
        </w:rPr>
      </w:r>
    </w:p>
    <w:p>
      <w:pPr>
        <w:pStyle w:val="BodyTextIndent"/>
        <w:widowControl/>
        <w:tabs>
          <w:tab w:val="left" w:pos="90" w:leader="none"/>
          <w:tab w:val="left" w:pos="2160" w:leader="none"/>
          <w:tab w:val="left" w:pos="4320" w:leader="none"/>
          <w:tab w:val="left" w:pos="6480" w:leader="none"/>
        </w:tabs>
        <w:rPr>
          <w:b/>
          <w:sz w:val="22"/>
          <w:u w:val="single"/>
        </w:rPr>
      </w:pPr>
      <w:r>
        <w:rPr>
          <w:b/>
          <w:sz w:val="22"/>
          <w:u w:val="single"/>
        </w:rPr>
        <w:t>General Terms for Daily Options:</w:t>
      </w:r>
    </w:p>
    <w:p>
      <w:pPr>
        <w:pStyle w:val="BodyTextIndent"/>
        <w:widowControl/>
        <w:tabs>
          <w:tab w:val="left" w:pos="90" w:leader="none"/>
          <w:tab w:val="left" w:pos="2160" w:leader="none"/>
          <w:tab w:val="left" w:pos="4320" w:leader="none"/>
          <w:tab w:val="left" w:pos="6480" w:leader="none"/>
        </w:tabs>
        <w:rPr>
          <w:b/>
          <w:sz w:val="22"/>
          <w:u w:val="single"/>
        </w:rPr>
      </w:pPr>
      <w:r>
        <w:rPr>
          <w:b/>
          <w:sz w:val="22"/>
          <w:u w:val="single"/>
        </w:rPr>
      </w:r>
    </w:p>
    <w:p>
      <w:pPr>
        <w:pStyle w:val="BodyTextIndent"/>
        <w:widowControl/>
        <w:tabs>
          <w:tab w:val="clear" w:pos="90"/>
          <w:tab w:val="left" w:pos="0" w:leader="none"/>
          <w:tab w:val="left" w:pos="2160" w:leader="none"/>
          <w:tab w:val="left" w:pos="4320" w:leader="none"/>
          <w:tab w:val="left" w:pos="6480" w:leader="none"/>
        </w:tabs>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808"/>
        <w:gridCol w:w="6048"/>
      </w:tblGrid>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jc w:val="start"/>
              <w:rPr>
                <w:sz w:val="22"/>
              </w:rPr>
            </w:pPr>
            <w:r>
              <w:rPr>
                <w:sz w:val="22"/>
              </w:rPr>
              <w:t>Notional Quantity per Energy Index Point per</w:t>
            </w:r>
          </w:p>
          <w:p>
            <w:pPr>
              <w:pStyle w:val="BodyTextIndent"/>
              <w:widowControl/>
              <w:tabs>
                <w:tab w:val="clear" w:pos="90"/>
                <w:tab w:val="left" w:pos="0" w:leader="none"/>
                <w:tab w:val="left" w:pos="2160" w:leader="none"/>
                <w:tab w:val="left" w:pos="4320" w:leader="none"/>
                <w:tab w:val="left" w:pos="6480" w:leader="none"/>
              </w:tabs>
              <w:ind w:start="0" w:end="0"/>
              <w:jc w:val="start"/>
              <w:rPr>
                <w:sz w:val="22"/>
              </w:rPr>
            </w:pPr>
            <w:r>
              <w:rPr>
                <w:sz w:val="22"/>
              </w:rPr>
              <w:t>Calculation Period:</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snapToGrid w:val="false"/>
              <w:ind w:start="0" w:end="0"/>
              <w:rPr>
                <w:sz w:val="22"/>
              </w:rPr>
            </w:pPr>
            <w:r>
              <w:rPr>
                <w:sz w:val="22"/>
              </w:rPr>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For each Energy Index Point, the Energy Quantity, if any, for such Energy Index Point, as determined by Buyer on a daily basis, all as further defined below</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Commodity:</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Electricity</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Commodity Unit:</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MWh (Megawatt hours)</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Trade Date: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December 28, 1999</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Effective Date: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September 1, 2000</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Termination Date: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August 31, 2004</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Option Style: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European</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Option Type: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Daily Call Options</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Seller:</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Counterparty</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Buyer:</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EPMI</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Premium:</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The amount of U.S.Dollars per Month due from Buyer to Seller from the Effective Date through the Termination Date as set forth on Exhibit III attached hereto</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Premium Payment Date(s):</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See "Payments" Section</w:t>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snapToGrid w:val="false"/>
              <w:ind w:start="0" w:end="0"/>
              <w:rPr>
                <w:sz w:val="22"/>
              </w:rPr>
            </w:pPr>
            <w:r>
              <w:rPr>
                <w:sz w:val="22"/>
              </w:rPr>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snapToGrid w:val="false"/>
              <w:ind w:start="0" w:end="0"/>
              <w:rPr>
                <w:sz w:val="22"/>
              </w:rPr>
            </w:pPr>
            <w:r>
              <w:rPr>
                <w:sz w:val="22"/>
              </w:rPr>
            </w:r>
          </w:p>
        </w:tc>
      </w:tr>
    </w:tbl>
    <w:p>
      <w:pPr>
        <w:pStyle w:val="BodyTextIndent"/>
        <w:widowControl/>
        <w:tabs>
          <w:tab w:val="left" w:pos="90" w:leader="none"/>
          <w:tab w:val="left" w:pos="2160" w:leader="none"/>
          <w:tab w:val="left" w:pos="2700" w:leader="none"/>
          <w:tab w:val="left" w:pos="6480" w:leader="none"/>
        </w:tabs>
        <w:ind w:start="0" w:end="-630"/>
        <w:rPr>
          <w:strike/>
          <w:sz w:val="22"/>
        </w:rPr>
      </w:pPr>
      <w:r>
        <w:rPr>
          <w:strike/>
          <w:sz w:val="22"/>
        </w:rPr>
      </w:r>
    </w:p>
    <w:p>
      <w:pPr>
        <w:pStyle w:val="BodyTextIndent"/>
        <w:widowControl/>
        <w:tabs>
          <w:tab w:val="clear" w:pos="90"/>
          <w:tab w:val="left" w:pos="0" w:leader="none"/>
          <w:tab w:val="left" w:pos="81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t>Procedures for Exercise:</w:t>
      </w:r>
    </w:p>
    <w:p>
      <w:pPr>
        <w:pStyle w:val="BodyTextIndent"/>
        <w:widowControl/>
        <w:tabs>
          <w:tab w:val="left" w:pos="9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r>
    </w:p>
    <w:p>
      <w:pPr>
        <w:pStyle w:val="BodyTextIndent"/>
        <w:widowControl/>
        <w:tabs>
          <w:tab w:val="clear" w:pos="90"/>
          <w:tab w:val="left" w:pos="0" w:leader="none"/>
          <w:tab w:val="left" w:pos="810" w:leader="none"/>
          <w:tab w:val="left" w:pos="2160" w:leader="none"/>
          <w:tab w:val="left" w:pos="2700" w:leader="none"/>
          <w:tab w:val="left" w:pos="6480" w:leader="none"/>
        </w:tabs>
        <w:ind w:hanging="3420" w:start="2700" w:end="-630"/>
        <w:rPr>
          <w:sz w:val="22"/>
        </w:rPr>
      </w:pPr>
      <w:r>
        <w:rPr>
          <w:sz w:val="22"/>
        </w:rPr>
        <w:tab/>
        <w:t>Exercise Periods:</w:t>
        <w:tab/>
        <w:tab/>
        <w:t xml:space="preserve">Prior to 8:00 a.m. Central Prevailing Time on the Business Day prior to the Calculation Period (assuming for this definition only that EPMI has exercised its Daily Call Option), or another specified time as mutually agreed upon by the parties  </w:t>
      </w:r>
    </w:p>
    <w:p>
      <w:pPr>
        <w:pStyle w:val="BodyTextIndent"/>
        <w:widowControl/>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r>
    </w:p>
    <w:p>
      <w:pPr>
        <w:pStyle w:val="BodyTextIndent"/>
        <w:widowControl/>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Automatic Exercise:</w:t>
        <w:tab/>
        <w:tab/>
        <w:t>Inapplicable</w:t>
      </w:r>
    </w:p>
    <w:p>
      <w:pPr>
        <w:pStyle w:val="BodyTextIndent"/>
        <w:widowControl/>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widowControl/>
        <w:tabs>
          <w:tab w:val="clear" w:pos="90"/>
          <w:tab w:val="left" w:pos="0" w:leader="none"/>
          <w:tab w:val="left" w:pos="810" w:leader="none"/>
          <w:tab w:val="left" w:pos="2160" w:leader="none"/>
          <w:tab w:val="left" w:pos="2700" w:leader="none"/>
          <w:tab w:val="left" w:pos="6480" w:leader="none"/>
        </w:tabs>
        <w:ind w:hanging="2700" w:start="2700" w:end="0"/>
        <w:rPr>
          <w:sz w:val="22"/>
        </w:rPr>
      </w:pPr>
      <w:r>
        <w:rPr>
          <w:sz w:val="22"/>
        </w:rPr>
        <w:t>Notice of Exercise:</w:t>
        <w:tab/>
        <w:tab/>
        <w:t>An irrevocable notice given by EPMI to Counterparty (which may be given orally, including by telephone, or in writing) of its election to enter into each Daily Call Option</w:t>
      </w:r>
    </w:p>
    <w:p>
      <w:pPr>
        <w:pStyle w:val="BodyTextIndent"/>
        <w:widowControl/>
        <w:tabs>
          <w:tab w:val="clear" w:pos="90"/>
          <w:tab w:val="left" w:pos="0" w:leader="none"/>
          <w:tab w:val="left" w:pos="810" w:leader="none"/>
          <w:tab w:val="left" w:pos="2160" w:leader="none"/>
          <w:tab w:val="left" w:pos="2700" w:leader="none"/>
          <w:tab w:val="left" w:pos="6480" w:leader="none"/>
        </w:tabs>
        <w:ind w:hanging="4860" w:start="4140" w:end="-630"/>
        <w:rPr>
          <w:sz w:val="22"/>
        </w:rPr>
      </w:pPr>
      <w:r>
        <w:rPr>
          <w:sz w:val="22"/>
        </w:rPr>
      </w:r>
    </w:p>
    <w:p>
      <w:pPr>
        <w:pStyle w:val="BodyTextIndent"/>
        <w:widowControl/>
        <w:tabs>
          <w:tab w:val="clear" w:pos="90"/>
          <w:tab w:val="left" w:pos="0" w:leader="none"/>
          <w:tab w:val="left" w:pos="810" w:leader="none"/>
          <w:tab w:val="left" w:pos="2160" w:leader="none"/>
          <w:tab w:val="left" w:pos="2700" w:leader="none"/>
          <w:tab w:val="left" w:pos="4050" w:leader="none"/>
          <w:tab w:val="left" w:pos="6480" w:leader="none"/>
        </w:tabs>
        <w:ind w:hanging="3420" w:start="2700" w:end="-630"/>
        <w:rPr>
          <w:sz w:val="22"/>
        </w:rPr>
      </w:pPr>
      <w:r>
        <w:rPr>
          <w:sz w:val="22"/>
        </w:rPr>
        <w:tab/>
        <w:t>Calculation Periods:</w:t>
        <w:tab/>
        <w:tab/>
        <w:t xml:space="preserve">Each Business Day commencing with </w:t>
      </w:r>
      <w:r>
        <w:rPr>
          <w:color w:val="000000"/>
          <w:sz w:val="22"/>
        </w:rPr>
        <w:t>September 1, 2000 and ending on August 31, 2004 for which Buyer has exercised its Daily Call Option as set forth above</w:t>
      </w:r>
    </w:p>
    <w:p>
      <w:pPr>
        <w:pStyle w:val="BodyTextIndent"/>
        <w:widowControl/>
        <w:tabs>
          <w:tab w:val="clear" w:pos="90"/>
          <w:tab w:val="left" w:pos="0" w:leader="none"/>
          <w:tab w:val="left" w:pos="2160" w:leader="none"/>
          <w:tab w:val="left" w:pos="4140" w:leader="none"/>
          <w:tab w:val="left" w:pos="6480" w:leader="none"/>
        </w:tabs>
        <w:ind w:hanging="4860" w:start="4140" w:end="-630"/>
        <w:rPr>
          <w:sz w:val="22"/>
        </w:rPr>
      </w:pPr>
      <w:r>
        <w:rPr>
          <w:sz w:val="22"/>
        </w:rPr>
      </w:r>
    </w:p>
    <w:p>
      <w:pPr>
        <w:pStyle w:val="BodyTextIndent"/>
        <w:keepNext w:val="true"/>
        <w:widowControl/>
        <w:tabs>
          <w:tab w:val="clear" w:pos="90"/>
          <w:tab w:val="left" w:pos="0" w:leader="none"/>
          <w:tab w:val="left" w:pos="2160" w:leader="none"/>
          <w:tab w:val="left" w:pos="4140" w:leader="none"/>
          <w:tab w:val="left" w:pos="4320" w:leader="none"/>
          <w:tab w:val="left" w:pos="6480" w:leader="none"/>
        </w:tabs>
        <w:rPr/>
      </w:pPr>
      <w:r>
        <w:rPr>
          <w:b/>
          <w:sz w:val="22"/>
          <w:u w:val="single"/>
        </w:rPr>
        <w:t>Fixed Amount Details</w:t>
      </w:r>
      <w:r>
        <w:rPr>
          <w:b/>
          <w:sz w:val="22"/>
        </w:rPr>
        <w:t>:</w:t>
      </w:r>
    </w:p>
    <w:p>
      <w:pPr>
        <w:pStyle w:val="BodyTextIndent"/>
        <w:keepNext w:val="true"/>
        <w:widowControl/>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keepNext w:val="true"/>
        <w:widowControl/>
        <w:tabs>
          <w:tab w:val="clear" w:pos="90"/>
          <w:tab w:val="left" w:pos="0" w:leader="none"/>
          <w:tab w:val="left" w:pos="2160" w:leader="none"/>
          <w:tab w:val="left" w:pos="2700" w:leader="none"/>
          <w:tab w:val="left" w:pos="4320" w:leader="none"/>
          <w:tab w:val="left" w:pos="6480" w:leader="none"/>
        </w:tabs>
        <w:rPr/>
      </w:pPr>
      <w:r>
        <w:rPr>
          <w:b/>
          <w:sz w:val="22"/>
        </w:rPr>
        <w:tab/>
      </w:r>
      <w:r>
        <w:rPr>
          <w:sz w:val="22"/>
        </w:rPr>
        <w:t>Fixed Price Payer:</w:t>
      </w:r>
    </w:p>
    <w:p>
      <w:pPr>
        <w:pStyle w:val="BodyTextIndent"/>
        <w:keepNext w:val="true"/>
        <w:widowControl/>
        <w:tabs>
          <w:tab w:val="clear" w:pos="90"/>
          <w:tab w:val="left" w:pos="0" w:leader="none"/>
          <w:tab w:val="left" w:pos="2160" w:leader="none"/>
          <w:tab w:val="left" w:pos="2700" w:leader="none"/>
          <w:tab w:val="left" w:pos="4320" w:leader="none"/>
          <w:tab w:val="left" w:pos="6480" w:leader="none"/>
        </w:tabs>
        <w:rPr>
          <w:sz w:val="22"/>
        </w:rPr>
      </w:pPr>
      <w:r>
        <w:rPr>
          <w:sz w:val="22"/>
        </w:rPr>
        <w:tab/>
        <w:t>(Buyer)</w:t>
        <w:tab/>
        <w:tab/>
        <w:t>EPMI</w:t>
      </w:r>
    </w:p>
    <w:p>
      <w:pPr>
        <w:pStyle w:val="BodyTextIndent"/>
        <w:keepNext w:val="true"/>
        <w:widowControl/>
        <w:tabs>
          <w:tab w:val="clear" w:pos="90"/>
          <w:tab w:val="left" w:pos="0" w:leader="none"/>
          <w:tab w:val="left" w:pos="2160" w:leader="none"/>
          <w:tab w:val="left" w:pos="4140" w:leader="none"/>
          <w:tab w:val="left" w:pos="4320" w:leader="none"/>
          <w:tab w:val="left" w:pos="6480" w:leader="none"/>
        </w:tabs>
        <w:rPr>
          <w:sz w:val="22"/>
        </w:rPr>
      </w:pPr>
      <w:r>
        <w:rPr>
          <w:sz w:val="22"/>
        </w:rPr>
      </w:r>
    </w:p>
    <w:p>
      <w:pPr>
        <w:pStyle w:val="BodyTextIndent"/>
        <w:widowControl/>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 xml:space="preserve">   </w:t>
      </w:r>
      <w:r>
        <w:rPr>
          <w:sz w:val="22"/>
        </w:rPr>
        <w:t>Strike Price:</w:t>
        <w:tab/>
        <w:tab/>
        <w:t>The Strike Price (in U.S.$) for each Calculation Period for each Energy Index Point shall be calculated pursuant to the following formula:</w:t>
      </w:r>
    </w:p>
    <w:p>
      <w:pPr>
        <w:pStyle w:val="BodyTextIndent"/>
        <w:widowControl/>
        <w:tabs>
          <w:tab w:val="clear" w:pos="90"/>
          <w:tab w:val="left" w:pos="0" w:leader="none"/>
          <w:tab w:val="left" w:pos="2160" w:leader="none"/>
          <w:tab w:val="left" w:pos="3600" w:leader="none"/>
          <w:tab w:val="left" w:pos="4320" w:leader="none"/>
          <w:tab w:val="left" w:pos="6480" w:leader="none"/>
        </w:tabs>
        <w:ind w:hanging="3780" w:start="3600" w:end="0"/>
        <w:rPr>
          <w:sz w:val="22"/>
        </w:rPr>
      </w:pPr>
      <w:r>
        <w:rPr>
          <w:sz w:val="22"/>
        </w:rPr>
      </w:r>
    </w:p>
    <w:p>
      <w:pPr>
        <w:pStyle w:val="BodyTextIndent"/>
        <w:widowControl/>
        <w:tabs>
          <w:tab w:val="clear" w:pos="2160"/>
          <w:tab w:val="left" w:pos="90" w:leader="none"/>
          <w:tab w:val="left" w:pos="2700" w:leader="none"/>
          <w:tab w:val="left" w:pos="6480" w:leader="none"/>
        </w:tabs>
        <w:ind w:hanging="2880" w:start="2700" w:end="0"/>
        <w:rPr>
          <w:sz w:val="22"/>
        </w:rPr>
      </w:pPr>
      <w:r>
        <w:rPr>
          <w:sz w:val="22"/>
        </w:rPr>
        <w:tab/>
        <w:tab/>
        <w:t>[(Associated Gas Index for such Energy Index Point x 11.5 MMBtu/MWh) + U.S.$2.50/MWh]</w:t>
      </w:r>
    </w:p>
    <w:p>
      <w:pPr>
        <w:pStyle w:val="BodyTextIndent"/>
        <w:widowControl/>
        <w:tabs>
          <w:tab w:val="left" w:pos="90" w:leader="none"/>
          <w:tab w:val="left" w:pos="2160" w:leader="none"/>
          <w:tab w:val="left" w:pos="3600" w:leader="none"/>
          <w:tab w:val="left" w:pos="6480" w:leader="none"/>
        </w:tabs>
        <w:ind w:hanging="3780" w:start="3600" w:end="0"/>
        <w:rPr>
          <w:sz w:val="22"/>
        </w:rPr>
      </w:pPr>
      <w:r>
        <w:rPr>
          <w:sz w:val="22"/>
        </w:rPr>
      </w:r>
    </w:p>
    <w:p>
      <w:pPr>
        <w:pStyle w:val="BodyTextIndent"/>
        <w:widowControl/>
        <w:tabs>
          <w:tab w:val="clear" w:pos="6480"/>
          <w:tab w:val="left" w:pos="90" w:leader="none"/>
          <w:tab w:val="left" w:pos="2160" w:leader="none"/>
          <w:tab w:val="left" w:pos="2700" w:leader="none"/>
          <w:tab w:val="left" w:pos="5940" w:leader="none"/>
          <w:tab w:val="left" w:pos="6840" w:leader="none"/>
        </w:tabs>
        <w:ind w:hanging="2880" w:start="2700" w:end="0"/>
        <w:rPr>
          <w:sz w:val="22"/>
        </w:rPr>
      </w:pPr>
      <w:r>
        <w:rPr>
          <w:sz w:val="22"/>
        </w:rPr>
        <w:tab/>
        <w:tab/>
        <w:tab/>
        <w:t>where "Associated Gas Index" is defined for each Energy Index Point as set forth on Exhibit II attached hereto</w:t>
      </w:r>
    </w:p>
    <w:p>
      <w:pPr>
        <w:pStyle w:val="BodyTextIndent"/>
        <w:widowControl/>
        <w:tabs>
          <w:tab w:val="clear" w:pos="90"/>
          <w:tab w:val="left" w:pos="0" w:leader="none"/>
          <w:tab w:val="left" w:pos="2160" w:leader="none"/>
          <w:tab w:val="left" w:pos="2700" w:leader="none"/>
          <w:tab w:val="left" w:pos="4320" w:leader="none"/>
          <w:tab w:val="left" w:pos="6480" w:leader="none"/>
        </w:tabs>
        <w:ind w:start="0" w:end="0"/>
        <w:rPr>
          <w:b/>
          <w:sz w:val="22"/>
        </w:rPr>
      </w:pPr>
      <w:r>
        <w:rPr>
          <w:b/>
          <w:sz w:val="22"/>
        </w:rPr>
      </w:r>
    </w:p>
    <w:p>
      <w:pPr>
        <w:pStyle w:val="BodyTextIndent"/>
        <w:widowControl/>
        <w:tabs>
          <w:tab w:val="clear" w:pos="90"/>
          <w:tab w:val="left" w:pos="0" w:leader="none"/>
          <w:tab w:val="left" w:pos="2160" w:leader="none"/>
          <w:tab w:val="left" w:pos="4140" w:leader="none"/>
          <w:tab w:val="left" w:pos="4320" w:leader="none"/>
          <w:tab w:val="left" w:pos="6480" w:leader="none"/>
        </w:tabs>
        <w:rPr/>
      </w:pPr>
      <w:r>
        <w:rPr>
          <w:b/>
          <w:sz w:val="22"/>
          <w:u w:val="single"/>
        </w:rPr>
        <w:t>Floating Amount Details</w:t>
      </w:r>
      <w:r>
        <w:rPr>
          <w:b/>
          <w:sz w:val="22"/>
        </w:rPr>
        <w:t>:</w:t>
        <w:tab/>
        <w:tab/>
      </w:r>
    </w:p>
    <w:p>
      <w:pPr>
        <w:pStyle w:val="BodyTextIndent"/>
        <w:widowControl/>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widowControl/>
        <w:tabs>
          <w:tab w:val="clear" w:pos="90"/>
          <w:tab w:val="left" w:pos="0" w:leader="none"/>
          <w:tab w:val="left" w:pos="2160" w:leader="none"/>
          <w:tab w:val="left" w:pos="2700" w:leader="none"/>
          <w:tab w:val="left" w:pos="6480" w:leader="none"/>
        </w:tabs>
        <w:ind w:hanging="720" w:start="0" w:end="0"/>
        <w:rPr>
          <w:sz w:val="22"/>
        </w:rPr>
      </w:pPr>
      <w:r>
        <w:rPr>
          <w:sz w:val="22"/>
        </w:rPr>
        <w:tab/>
        <w:t>Floating Price Payer:</w:t>
        <w:tab/>
        <w:tab/>
        <w:t>Counterparty</w:t>
      </w:r>
    </w:p>
    <w:p>
      <w:pPr>
        <w:pStyle w:val="BodyTextIndent"/>
        <w:widowControl/>
        <w:tabs>
          <w:tab w:val="clear" w:pos="90"/>
          <w:tab w:val="left" w:pos="0" w:leader="none"/>
          <w:tab w:val="left" w:pos="2160" w:leader="none"/>
          <w:tab w:val="left" w:pos="2700" w:leader="none"/>
          <w:tab w:val="left" w:pos="6480" w:leader="none"/>
        </w:tabs>
        <w:ind w:hanging="720" w:start="0" w:end="0"/>
        <w:rPr>
          <w:sz w:val="22"/>
        </w:rPr>
      </w:pPr>
      <w:r>
        <w:rPr>
          <w:sz w:val="22"/>
        </w:rPr>
        <w:tab/>
        <w:t>(Seller)</w:t>
      </w:r>
    </w:p>
    <w:p>
      <w:pPr>
        <w:pStyle w:val="BodyTextIndent"/>
        <w:widowControl/>
        <w:tabs>
          <w:tab w:val="clear" w:pos="90"/>
          <w:tab w:val="left" w:pos="0" w:leader="none"/>
          <w:tab w:val="left" w:pos="2160" w:leader="none"/>
          <w:tab w:val="left" w:pos="2700" w:leader="none"/>
          <w:tab w:val="left" w:pos="6480" w:leader="none"/>
        </w:tabs>
        <w:ind w:hanging="720" w:start="0" w:end="0"/>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718"/>
        <w:gridCol w:w="6138"/>
      </w:tblGrid>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Floating Price:</w:t>
            </w:r>
          </w:p>
        </w:tc>
        <w:tc>
          <w:tcPr>
            <w:tcW w:w="6138" w:type="dxa"/>
            <w:tcBorders/>
          </w:tcPr>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The Floating Price (in U.S.$) for each Calculation Period for each Energy Index Point is the Energy Index for such Energy Index Point</w:t>
            </w:r>
          </w:p>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Energy Index:</w:t>
            </w:r>
          </w:p>
        </w:tc>
        <w:tc>
          <w:tcPr>
            <w:tcW w:w="6138" w:type="dxa"/>
            <w:tcBorders/>
          </w:tcPr>
          <w:p>
            <w:pPr>
              <w:pStyle w:val="BodyTextIndent"/>
              <w:widowControl/>
              <w:tabs>
                <w:tab w:val="clear" w:pos="90"/>
                <w:tab w:val="left" w:pos="2160" w:leader="none"/>
                <w:tab w:val="left" w:pos="6480" w:leader="none"/>
              </w:tabs>
              <w:ind w:start="-18" w:end="0"/>
              <w:rPr>
                <w:sz w:val="22"/>
              </w:rPr>
            </w:pPr>
            <w:r>
              <w:rPr>
                <w:sz w:val="22"/>
              </w:rPr>
              <w:t xml:space="preserve">"Energy Index" means for each of the following Energy Index Points as follows: </w:t>
            </w:r>
          </w:p>
          <w:p>
            <w:pPr>
              <w:pStyle w:val="BodyTextIndent"/>
              <w:widowControl/>
              <w:tabs>
                <w:tab w:val="clear" w:pos="90"/>
                <w:tab w:val="left" w:pos="-18" w:leader="none"/>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432" w:leader="none"/>
                <w:tab w:val="left" w:pos="2160" w:leader="none"/>
                <w:tab w:val="left" w:pos="6480" w:leader="none"/>
              </w:tabs>
              <w:ind w:start="-18" w:end="0"/>
              <w:rPr>
                <w:sz w:val="22"/>
              </w:rPr>
            </w:pPr>
            <w:r>
              <w:rPr>
                <w:sz w:val="22"/>
              </w:rPr>
              <w:t>(i)</w:t>
              <w:tab/>
              <w:t>"Into ComEd":</w:t>
            </w:r>
          </w:p>
          <w:p>
            <w:pPr>
              <w:pStyle w:val="BodyTextIndent"/>
              <w:widowControl/>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"Com Ed Border"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widowControl/>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432" w:leader="none"/>
                <w:tab w:val="left" w:pos="2160" w:leader="none"/>
                <w:tab w:val="left" w:pos="6480" w:leader="none"/>
              </w:tabs>
              <w:ind w:start="-18" w:end="0"/>
              <w:rPr>
                <w:sz w:val="22"/>
              </w:rPr>
            </w:pPr>
            <w:r>
              <w:rPr>
                <w:sz w:val="22"/>
              </w:rPr>
              <w:t>(ii)</w:t>
              <w:tab/>
              <w:t>"Into Cinergy":</w:t>
            </w:r>
          </w:p>
          <w:p>
            <w:pPr>
              <w:pStyle w:val="BodyTextIndent"/>
              <w:widowControl/>
              <w:tabs>
                <w:tab w:val="clear" w:pos="90"/>
                <w:tab w:val="left" w:pos="432" w:leader="none"/>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"Cinergy,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widowControl/>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keepNext w:val="true"/>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keepNext w:val="true"/>
              <w:widowControl/>
              <w:tabs>
                <w:tab w:val="clear" w:pos="90"/>
                <w:tab w:val="left" w:pos="432" w:leader="none"/>
                <w:tab w:val="left" w:pos="2160" w:leader="none"/>
                <w:tab w:val="left" w:pos="6480" w:leader="none"/>
              </w:tabs>
              <w:ind w:start="0" w:end="0"/>
              <w:rPr>
                <w:sz w:val="22"/>
              </w:rPr>
            </w:pPr>
            <w:r>
              <w:rPr>
                <w:sz w:val="22"/>
              </w:rPr>
              <w:t>(iii)</w:t>
              <w:tab/>
              <w:t>"Into TVA":</w:t>
            </w:r>
          </w:p>
          <w:p>
            <w:pPr>
              <w:pStyle w:val="BodyTextIndent"/>
              <w:keepNext w:val="true"/>
              <w:widowControl/>
              <w:tabs>
                <w:tab w:val="clear" w:pos="90"/>
                <w:tab w:val="left" w:pos="432" w:leader="none"/>
                <w:tab w:val="left" w:pos="2160" w:leader="none"/>
                <w:tab w:val="left" w:pos="6480" w:leader="none"/>
              </w:tabs>
              <w:ind w:start="0"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"TVA,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widowControl/>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Energy Index Point:</w:t>
            </w:r>
          </w:p>
        </w:tc>
        <w:tc>
          <w:tcPr>
            <w:tcW w:w="6138" w:type="dxa"/>
            <w:tcBorders/>
          </w:tcPr>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Each of the following three (3) locations shall be considered an Energy Index Point:</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ab/>
              <w:t>"Into ComEd"</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ab/>
              <w:t>"Into Cinergy"</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ab/>
              <w:t>"Into TVA"</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Energy Quantity:</w:t>
            </w:r>
          </w:p>
        </w:tc>
        <w:tc>
          <w:tcPr>
            <w:tcW w:w="6138" w:type="dxa"/>
            <w:tcBorders/>
          </w:tcPr>
          <w:p>
            <w:pPr>
              <w:pStyle w:val="BodyTextIndent"/>
              <w:widowControl/>
              <w:tabs>
                <w:tab w:val="clear" w:pos="90"/>
                <w:tab w:val="clear" w:pos="6480"/>
                <w:tab w:val="left" w:pos="-18" w:leader="none"/>
                <w:tab w:val="left" w:pos="2160" w:leader="none"/>
                <w:tab w:val="left" w:pos="2700" w:leader="none"/>
              </w:tabs>
              <w:ind w:start="-18" w:end="0"/>
              <w:rPr>
                <w:sz w:val="22"/>
              </w:rPr>
            </w:pPr>
            <w:r>
              <w:rPr>
                <w:sz w:val="22"/>
              </w:rPr>
              <w:t>On each Business Day that Buyer properly exercises its Daily Call Option, Buyer shall notify Seller of the Energy Quantity, if any, that Buyer elects to designate with respect to each Energy Index Point for such Calculation Period.  Buyer shall have the right, but not the obligation, to designate an Energy Quantity with respect to any or all of the Energy Index Points.  The Energy Quantity for each Energy Index Point selected by Buyer shall be equal to the following:</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keepNext w:val="true"/>
              <w:keepLines/>
              <w:widowControl/>
              <w:tabs>
                <w:tab w:val="clear" w:pos="90"/>
                <w:tab w:val="left" w:pos="-18" w:leader="none"/>
                <w:tab w:val="left" w:pos="2160" w:leader="none"/>
                <w:tab w:val="left" w:pos="2700" w:leader="none"/>
                <w:tab w:val="left" w:pos="6480" w:leader="none"/>
              </w:tabs>
              <w:ind w:start="-14" w:end="0"/>
              <w:rPr>
                <w:sz w:val="22"/>
              </w:rPr>
            </w:pPr>
            <w:r>
              <w:rPr>
                <w:sz w:val="22"/>
              </w:rPr>
              <w:t>16 x the "Hourly Energy Quantity" selected by Buyer for such Energy Index Point, as further defined below</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The "Hourly Energy Quantity" selected by Buyer shall be the same quantity for each hour of the 16 hour period and shall be a multiple of 50 between zero and the Maximum Hourly Energy Quantity set forth on Exhibit I attached hereto, during On-Peak Hours.  For purposes of determining the applicable Maximum Hourly Energy Quantity, the Month in which the Calculation Period is included shall determine the applicable Month.</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jc w:val="start"/>
              <w:rPr>
                <w:sz w:val="22"/>
              </w:rPr>
            </w:pPr>
            <w:r>
              <w:rPr>
                <w:sz w:val="22"/>
              </w:rPr>
              <w:t>Cash Settlement Amount for each Energy Index Point:</w:t>
            </w:r>
          </w:p>
        </w:tc>
        <w:tc>
          <w:tcPr>
            <w:tcW w:w="613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For each Calculation Period, the Cash Settlement Amount for each Energy Index Point shall be calculated pursuant to the following formula:</w:t>
            </w:r>
          </w:p>
        </w:tc>
      </w:tr>
    </w:tbl>
    <w:p>
      <w:pPr>
        <w:pStyle w:val="BodyTextIndent"/>
        <w:widowControl/>
        <w:tabs>
          <w:tab w:val="clear" w:pos="90"/>
          <w:tab w:val="left" w:pos="0" w:leader="none"/>
          <w:tab w:val="left" w:pos="2160" w:leader="none"/>
          <w:tab w:val="left" w:pos="2700" w:leader="none"/>
          <w:tab w:val="left" w:pos="6480" w:leader="none"/>
        </w:tabs>
        <w:ind w:hanging="3420" w:start="2700" w:end="0"/>
        <w:rPr>
          <w:sz w:val="22"/>
        </w:rPr>
      </w:pPr>
      <w:r>
        <w:rPr>
          <w:sz w:val="22"/>
        </w:rPr>
        <w:tab/>
        <w:tab/>
      </w:r>
    </w:p>
    <w:p>
      <w:pPr>
        <w:pStyle w:val="BodyTextIndent"/>
        <w:widowControl/>
        <w:tabs>
          <w:tab w:val="left" w:pos="90" w:leader="none"/>
          <w:tab w:val="left" w:pos="2160" w:leader="none"/>
          <w:tab w:val="left" w:pos="2700" w:leader="none"/>
          <w:tab w:val="left" w:pos="3780" w:leader="none"/>
          <w:tab w:val="left" w:pos="6480" w:leader="none"/>
        </w:tabs>
        <w:ind w:hanging="3420" w:start="2700" w:end="0"/>
        <w:rPr>
          <w:sz w:val="22"/>
        </w:rPr>
      </w:pPr>
      <w:r>
        <w:rPr>
          <w:sz w:val="22"/>
        </w:rPr>
        <w:tab/>
        <w:tab/>
        <w:tab/>
        <w:t xml:space="preserve">Energy Quantity for such Energy Index Point x (Energy Index for such Energy Index Point - Strike Price) </w:t>
      </w:r>
    </w:p>
    <w:p>
      <w:pPr>
        <w:pStyle w:val="BodyTextIndent"/>
        <w:widowControl/>
        <w:tabs>
          <w:tab w:val="left" w:pos="90" w:leader="none"/>
          <w:tab w:val="left" w:pos="2160" w:leader="none"/>
          <w:tab w:val="left" w:pos="2700" w:leader="none"/>
          <w:tab w:val="left" w:pos="6480" w:leader="none"/>
        </w:tabs>
        <w:ind w:hanging="3420" w:start="2700" w:end="0"/>
        <w:rPr>
          <w:sz w:val="22"/>
        </w:rPr>
      </w:pPr>
      <w:r>
        <w:rPr>
          <w:sz w:val="22"/>
        </w:rPr>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2700" w:start="2700" w:end="0"/>
        <w:rPr>
          <w:sz w:val="22"/>
        </w:rPr>
      </w:pPr>
      <w:r>
        <w:rPr>
          <w:sz w:val="22"/>
        </w:rPr>
        <w:t xml:space="preserve">Cash Settlement Amount </w:t>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2700" w:start="2700" w:end="0"/>
        <w:rPr>
          <w:sz w:val="22"/>
        </w:rPr>
      </w:pPr>
      <w:r>
        <w:rPr>
          <w:sz w:val="22"/>
        </w:rPr>
        <w:t>per Calculation Period:</w:t>
        <w:tab/>
        <w:tab/>
        <w:t>The Cash Settlement Amount per Calculation Period shall be the sum of the Cash Settlement Amounts for each Energy Index Point.</w:t>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keepNext w:val="true"/>
        <w:widowControl/>
        <w:tabs>
          <w:tab w:val="clear" w:pos="90"/>
          <w:tab w:val="clear" w:pos="6480"/>
          <w:tab w:val="left" w:pos="-720" w:leader="none"/>
          <w:tab w:val="left" w:pos="2160" w:leader="none"/>
          <w:tab w:val="left" w:pos="2700" w:leader="none"/>
          <w:tab w:val="left" w:pos="5760" w:leader="none"/>
          <w:tab w:val="left" w:pos="6840" w:leader="none"/>
        </w:tabs>
        <w:ind w:hanging="3427" w:start="2707" w:end="0"/>
        <w:rPr/>
      </w:pPr>
      <w:r>
        <w:rPr>
          <w:b/>
          <w:sz w:val="22"/>
          <w:u w:val="single"/>
        </w:rPr>
        <w:t>Payments</w:t>
      </w:r>
      <w:r>
        <w:rPr>
          <w:sz w:val="22"/>
        </w:rPr>
        <w:t>:</w:t>
      </w:r>
    </w:p>
    <w:p>
      <w:pPr>
        <w:pStyle w:val="BodyTextIndent"/>
        <w:keepNext w:val="true"/>
        <w:widowControl/>
        <w:tabs>
          <w:tab w:val="clear" w:pos="90"/>
          <w:tab w:val="clear" w:pos="6480"/>
          <w:tab w:val="left" w:pos="-720" w:leader="none"/>
          <w:tab w:val="left" w:pos="2160" w:leader="none"/>
          <w:tab w:val="left" w:pos="2700" w:leader="none"/>
          <w:tab w:val="left" w:pos="5760" w:leader="none"/>
          <w:tab w:val="left" w:pos="6840" w:leader="none"/>
        </w:tabs>
        <w:ind w:hanging="3427" w:start="2707" w:end="0"/>
        <w:rPr>
          <w:sz w:val="22"/>
        </w:rPr>
      </w:pPr>
      <w:r>
        <w:rPr>
          <w:sz w:val="22"/>
        </w:rPr>
      </w:r>
    </w:p>
    <w:p>
      <w:pPr>
        <w:pStyle w:val="BodyTextIndent"/>
        <w:widowControl/>
        <w:tabs>
          <w:tab w:val="clear" w:pos="90"/>
          <w:tab w:val="clear" w:pos="6480"/>
          <w:tab w:val="left" w:pos="0" w:leader="none"/>
          <w:tab w:val="left" w:pos="2160" w:leader="none"/>
          <w:tab w:val="left" w:pos="2700" w:leader="none"/>
          <w:tab w:val="left" w:pos="5760" w:leader="none"/>
          <w:tab w:val="left" w:pos="6840" w:leader="none"/>
        </w:tabs>
        <w:ind w:hanging="3420" w:start="2700" w:end="0"/>
        <w:rPr/>
      </w:pPr>
      <w:r>
        <w:rPr>
          <w:sz w:val="22"/>
        </w:rPr>
        <w:tab/>
        <w:t>Billing and Payment:</w:t>
        <w:tab/>
        <w:tab/>
        <w:t>Counterparty shall render to EPMI for each Month a statement setting forth: (a) the total Premium due Seller for the Month, (b) the total of the Cash Settlement Amounts for each Calculation Period in the preceding Month which are due to Buyer from Seller or to Seller from Buyer as the case may be, and (c) any other charges, payments or credits between the Parties during the preceding Month.  On or before the 20</w:t>
      </w:r>
      <w:r>
        <w:rPr>
          <w:sz w:val="22"/>
          <w:vertAlign w:val="superscript"/>
        </w:rPr>
        <w:t>th</w:t>
      </w:r>
      <w:r>
        <w:rPr>
          <w:sz w:val="22"/>
        </w:rPr>
        <w:t xml:space="preserve"> Day of each Month in which Counterparty's statement is received or the 10</w:t>
      </w:r>
      <w:r>
        <w:rPr>
          <w:sz w:val="22"/>
          <w:vertAlign w:val="superscript"/>
        </w:rPr>
        <w:t>th</w:t>
      </w:r>
      <w:r>
        <w:rPr>
          <w:sz w:val="22"/>
        </w:rPr>
        <w:t xml:space="preserve"> Day after such statement is received, whichever is later, or if such Day is not a Business Day, the immediately following Business Day, the appropriate Party shall render, by wire transfer, the amount set forth on such statement to the payment address provided in the Agreement.  Monthly payment between the Parties under this Confirmation and the Master Energy Purchase and Sale Agreement dated as of May 3, 1999, as amended, shall be netted by the Parties.</w:t>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3420" w:start="2700" w:end="0"/>
        <w:rPr/>
      </w:pPr>
      <w:r>
        <w:rPr>
          <w:b/>
          <w:sz w:val="22"/>
          <w:u w:val="single"/>
        </w:rPr>
        <w:t>Additional Provisions</w:t>
      </w:r>
      <w:r>
        <w:rPr>
          <w:sz w:val="22"/>
        </w:rPr>
        <w:t>:</w:t>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widowControl/>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pPr>
      <w:r>
        <w:rPr>
          <w:sz w:val="22"/>
          <w:u w:val="single"/>
        </w:rPr>
        <w:t>Definitions</w:t>
      </w:r>
      <w:r>
        <w:rPr>
          <w:sz w:val="22"/>
        </w:rPr>
        <w:t>.  With respect to the Transaction, the following terms shall have the respective meanings set forth below:</w:t>
      </w:r>
    </w:p>
    <w:p>
      <w:pPr>
        <w:pStyle w:val="BodyTextIndent"/>
        <w:widowControl/>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sz w:val="22"/>
        </w:rPr>
      </w:pPr>
      <w:r>
        <w:rPr>
          <w:sz w:val="22"/>
        </w:rPr>
      </w:r>
    </w:p>
    <w:p>
      <w:pPr>
        <w:pStyle w:val="Justified"/>
        <w:widowControl/>
        <w:ind w:start="720" w:end="0"/>
        <w:rPr/>
      </w:pPr>
      <w:r>
        <w:rPr>
          <w:b/>
          <w:i/>
        </w:rPr>
        <w:t>"Business Day"</w:t>
      </w:r>
      <w:r>
        <w:rPr/>
        <w:t xml:space="preserve"> means a Day, other than a Saturday, Sunday, or NERC holiday, on which Federal Reserve member banks in New York City are open for business; and a Business Day shall open at 8:00 a.m. and close at 5:00 p.m. local time for each Party's principal place of business.  </w:t>
      </w:r>
      <w:r>
        <w:rPr>
          <w:b/>
        </w:rPr>
        <w:t>"</w:t>
      </w:r>
      <w:r>
        <w:rPr>
          <w:b/>
          <w:i/>
        </w:rPr>
        <w:t>Day</w:t>
      </w:r>
      <w:r>
        <w:rPr>
          <w:b/>
        </w:rPr>
        <w:t>"</w:t>
      </w:r>
      <w:r>
        <w:rPr/>
        <w:t xml:space="preserve"> means the period of twenty four (24) hours from 12:00 midnight through 11:59 p.m. of each calendar day.</w:t>
      </w:r>
    </w:p>
    <w:p>
      <w:pPr>
        <w:pStyle w:val="Heading2"/>
        <w:widowControl/>
        <w:ind w:hanging="0" w:start="720" w:end="0"/>
        <w:jc w:val="both"/>
        <w:rPr/>
      </w:pPr>
      <w:r>
        <w:rPr/>
        <w:t>"</w:t>
      </w:r>
      <w:r>
        <w:rPr>
          <w:i/>
        </w:rPr>
        <w:t>Invoice</w:t>
      </w:r>
      <w:r>
        <w:rPr/>
        <w:t>"</w:t>
      </w:r>
      <w:r>
        <w:rPr>
          <w:b w:val="false"/>
        </w:rPr>
        <w:t xml:space="preserve"> means the statement of payments due from one party to the other party as calculated by the Calculation Agent</w:t>
      </w:r>
    </w:p>
    <w:p>
      <w:pPr>
        <w:pStyle w:val="Normal"/>
        <w:widowControl/>
        <w:rPr>
          <w:b/>
        </w:rPr>
      </w:pPr>
      <w:r>
        <w:rPr>
          <w:b/>
        </w:rPr>
      </w:r>
    </w:p>
    <w:p>
      <w:pPr>
        <w:pStyle w:val="Justified"/>
        <w:widowControl/>
        <w:ind w:start="720" w:end="0"/>
        <w:rPr/>
      </w:pPr>
      <w:r>
        <w:rPr>
          <w:b/>
          <w:i/>
        </w:rPr>
        <w:t>"Month"</w:t>
      </w:r>
      <w:r>
        <w:rPr/>
        <w:t xml:space="preserve"> means a calendar month.</w:t>
      </w:r>
    </w:p>
    <w:p>
      <w:pPr>
        <w:pStyle w:val="Justified"/>
        <w:widowControl/>
        <w:ind w:start="720" w:end="0"/>
        <w:rPr/>
      </w:pPr>
      <w:r>
        <w:rPr/>
        <w:t>"</w:t>
      </w:r>
      <w:r>
        <w:rPr>
          <w:b/>
          <w:i/>
        </w:rPr>
        <w:t>NERC</w:t>
      </w:r>
      <w:r>
        <w:rPr/>
        <w:t>" means North American Electric Reliability Council, and any successor entity.</w:t>
      </w:r>
    </w:p>
    <w:p>
      <w:pPr>
        <w:pStyle w:val="Justified"/>
        <w:widowControl/>
        <w:ind w:start="720" w:end="0"/>
        <w:rPr/>
      </w:pPr>
      <w:r>
        <w:rPr>
          <w:b/>
          <w:i/>
        </w:rPr>
        <w:t>"Non-Summer"</w:t>
      </w:r>
      <w:r>
        <w:rPr/>
        <w:t xml:space="preserve"> means the period each Year from January 1 through March 31 (inclusive) and from November 1 through December 31 (inclusive), excluding Saturdays, Sundays, and NERC holidays.</w:t>
      </w:r>
    </w:p>
    <w:p>
      <w:pPr>
        <w:pStyle w:val="Justified"/>
        <w:widowControl/>
        <w:ind w:start="720" w:end="0"/>
        <w:rPr>
          <w:b/>
          <w:i/>
          <w:i/>
        </w:rPr>
      </w:pPr>
      <w:r>
        <w:rPr>
          <w:b/>
          <w:i/>
        </w:rPr>
        <w:t>"On-Peak Hours"</w:t>
      </w:r>
      <w:r>
        <w:rPr/>
        <w:t xml:space="preserve"> means HE 0700 Central Prevailing Time to HE 2200 Central Prevailing Time.</w:t>
      </w:r>
    </w:p>
    <w:p>
      <w:pPr>
        <w:pStyle w:val="Justified"/>
        <w:widowControl/>
        <w:ind w:start="720" w:end="0"/>
        <w:rPr/>
      </w:pPr>
      <w:r>
        <w:rPr>
          <w:b/>
          <w:i/>
        </w:rPr>
        <w:t>"Summer"</w:t>
      </w:r>
      <w:r>
        <w:rPr/>
        <w:t xml:space="preserve"> means the period each Year from April 1 through October 31 (inclusive), excluding Saturdays, Sundays, and NERC holidays.</w:t>
      </w:r>
    </w:p>
    <w:p>
      <w:pPr>
        <w:pStyle w:val="BodyTextIndent"/>
        <w:widowControl/>
        <w:tabs>
          <w:tab w:val="clear" w:pos="90"/>
          <w:tab w:val="clear" w:pos="2160"/>
          <w:tab w:val="clear" w:pos="6480"/>
          <w:tab w:val="left" w:pos="-720" w:leader="none"/>
          <w:tab w:val="left" w:pos="720" w:leader="none"/>
          <w:tab w:val="left" w:pos="2700" w:leader="none"/>
          <w:tab w:val="left" w:pos="5760" w:leader="none"/>
          <w:tab w:val="left" w:pos="6840" w:leader="none"/>
        </w:tabs>
        <w:ind w:start="0" w:end="0"/>
        <w:rPr/>
      </w:pPr>
      <w:r>
        <w:rPr>
          <w:sz w:val="22"/>
        </w:rPr>
        <w:tab/>
        <w:t>"</w:t>
      </w:r>
      <w:r>
        <w:rPr>
          <w:b/>
          <w:i/>
          <w:sz w:val="22"/>
        </w:rPr>
        <w:t>Year</w:t>
      </w:r>
      <w:r>
        <w:rPr>
          <w:sz w:val="22"/>
        </w:rPr>
        <w:t>" means a calendar year.</w:t>
      </w:r>
    </w:p>
    <w:p>
      <w:pPr>
        <w:pStyle w:val="BodyTextIndent"/>
        <w:widowControl/>
        <w:tabs>
          <w:tab w:val="clear" w:pos="90"/>
          <w:tab w:val="clear" w:pos="2160"/>
          <w:tab w:val="clear" w:pos="6480"/>
          <w:tab w:val="left" w:pos="-720" w:leader="none"/>
          <w:tab w:val="left" w:pos="720" w:leader="none"/>
          <w:tab w:val="left" w:pos="2700" w:leader="none"/>
          <w:tab w:val="left" w:pos="5760" w:leader="none"/>
          <w:tab w:val="left" w:pos="6840" w:leader="none"/>
        </w:tabs>
        <w:ind w:start="0" w:end="0"/>
        <w:rPr>
          <w:sz w:val="22"/>
        </w:rPr>
      </w:pPr>
      <w:r>
        <w:rPr>
          <w:sz w:val="22"/>
        </w:rPr>
      </w:r>
    </w:p>
    <w:p>
      <w:pPr>
        <w:pStyle w:val="BodyTextIndent"/>
        <w:widowControl/>
        <w:tabs>
          <w:tab w:val="clear" w:pos="90"/>
          <w:tab w:val="clear" w:pos="6480"/>
          <w:tab w:val="left" w:pos="0" w:leader="none"/>
          <w:tab w:val="left" w:pos="2160" w:leader="none"/>
          <w:tab w:val="left" w:pos="4140" w:leader="none"/>
          <w:tab w:val="left" w:pos="5760" w:leader="none"/>
          <w:tab w:val="left" w:pos="6840" w:leader="none"/>
        </w:tabs>
        <w:ind w:firstLine="720" w:end="0"/>
        <w:rPr/>
      </w:pPr>
      <w:r>
        <w:rPr>
          <w:sz w:val="22"/>
        </w:rPr>
        <w:t>For the purposes of the calculation of the Floating Price(s) and the Strike Price,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p>
      <w:pPr>
        <w:pStyle w:val="BodyTextIndent"/>
        <w:widowControl/>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t xml:space="preserve">This Confirmation correctly sets forth the terms of the Transaction to which we have agreed. </w:t>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Sincerely,</w:t>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Enron Power Marketing, Inc.</w:t>
        <w:tab/>
        <w:tab/>
        <w:t>Merrill Lynch Capital Services, Inc.</w:t>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widowControl/>
        <w:tabs>
          <w:tab w:val="clear" w:pos="90"/>
          <w:tab w:val="clear" w:pos="6480"/>
          <w:tab w:val="left" w:pos="0" w:leader="none"/>
          <w:tab w:val="left" w:pos="2160" w:leader="none"/>
          <w:tab w:val="left" w:pos="2880" w:leader="none"/>
          <w:tab w:val="left" w:pos="4140" w:leader="none"/>
          <w:tab w:val="left" w:pos="5760" w:leader="none"/>
          <w:tab w:val="left" w:pos="6840" w:leader="none"/>
        </w:tabs>
        <w:rPr>
          <w:sz w:val="22"/>
        </w:rPr>
      </w:pPr>
      <w:r>
        <w:rPr>
          <w:sz w:val="22"/>
        </w:rPr>
      </w:r>
    </w:p>
    <w:p>
      <w:pPr>
        <w:pStyle w:val="BodyTextIndent"/>
        <w:keepNext w:val="true"/>
        <w:widowControl/>
        <w:tabs>
          <w:tab w:val="clear" w:pos="90"/>
          <w:tab w:val="clear" w:pos="6480"/>
          <w:tab w:val="left" w:pos="0" w:leader="none"/>
          <w:tab w:val="left" w:pos="2160" w:leader="none"/>
          <w:tab w:val="left" w:pos="3600" w:leader="none"/>
          <w:tab w:val="left" w:pos="4140" w:leader="none"/>
          <w:tab w:val="left" w:pos="5760" w:leader="none"/>
          <w:tab w:val="left" w:pos="6840" w:leader="none"/>
          <w:tab w:val="left" w:pos="8640" w:leader="none"/>
        </w:tabs>
        <w:rPr/>
      </w:pPr>
      <w:r>
        <w:rPr>
          <w:sz w:val="22"/>
        </w:rPr>
        <w:t xml:space="preserve">By: </w:t>
      </w:r>
      <w:r>
        <w:rPr>
          <w:sz w:val="22"/>
          <w:u w:val="single"/>
        </w:rPr>
        <w:tab/>
        <w:tab/>
        <w:tab/>
      </w:r>
      <w:r>
        <w:rPr>
          <w:sz w:val="22"/>
        </w:rPr>
        <w:tab/>
        <w:t xml:space="preserve">By: </w:t>
      </w:r>
      <w:r>
        <w:rPr>
          <w:sz w:val="22"/>
          <w:u w:val="single"/>
        </w:rPr>
        <w:tab/>
        <w:tab/>
        <w:tab/>
        <w:tab/>
      </w:r>
    </w:p>
    <w:p>
      <w:pPr>
        <w:pStyle w:val="BodyTextIndent"/>
        <w:keepNext w:val="true"/>
        <w:widowControl/>
        <w:tabs>
          <w:tab w:val="clear" w:pos="90"/>
          <w:tab w:val="clear" w:pos="6480"/>
          <w:tab w:val="left" w:pos="0" w:leader="none"/>
          <w:tab w:val="left" w:pos="2160" w:leader="none"/>
          <w:tab w:val="left" w:pos="3600" w:leader="none"/>
          <w:tab w:val="left" w:pos="4140" w:leader="none"/>
          <w:tab w:val="left" w:pos="5760" w:leader="none"/>
          <w:tab w:val="left" w:pos="6840" w:leader="none"/>
          <w:tab w:val="left" w:pos="8640" w:leader="none"/>
        </w:tabs>
        <w:rPr/>
      </w:pPr>
      <w:r>
        <w:rPr>
          <w:sz w:val="22"/>
        </w:rPr>
        <w:t xml:space="preserve">Name: </w:t>
      </w:r>
      <w:r>
        <w:rPr>
          <w:sz w:val="22"/>
          <w:u w:val="single"/>
        </w:rPr>
        <w:tab/>
        <w:tab/>
        <w:tab/>
      </w:r>
      <w:r>
        <w:rPr>
          <w:sz w:val="22"/>
        </w:rPr>
        <w:tab/>
        <w:t xml:space="preserve">Name: </w:t>
      </w:r>
      <w:r>
        <w:rPr>
          <w:sz w:val="22"/>
          <w:u w:val="single"/>
        </w:rPr>
        <w:tab/>
        <w:tab/>
        <w:tab/>
        <w:tab/>
      </w:r>
    </w:p>
    <w:p>
      <w:pPr>
        <w:pStyle w:val="BodyTextIndent"/>
        <w:keepNext w:val="true"/>
        <w:widowControl/>
        <w:tabs>
          <w:tab w:val="clear" w:pos="90"/>
          <w:tab w:val="clear" w:pos="6480"/>
          <w:tab w:val="left" w:pos="0" w:leader="none"/>
          <w:tab w:val="left" w:pos="2160" w:leader="none"/>
          <w:tab w:val="left" w:pos="3600" w:leader="none"/>
          <w:tab w:val="left" w:pos="4140" w:leader="none"/>
          <w:tab w:val="left" w:pos="5760" w:leader="none"/>
          <w:tab w:val="left" w:pos="6840" w:leader="none"/>
          <w:tab w:val="left" w:pos="8640" w:leader="none"/>
        </w:tabs>
        <w:rPr>
          <w:sz w:val="22"/>
        </w:rPr>
      </w:pPr>
      <w:r>
        <w:rPr>
          <w:sz w:val="22"/>
        </w:rPr>
        <w:t xml:space="preserve">Title: </w:t>
      </w:r>
      <w:r>
        <w:rPr>
          <w:sz w:val="22"/>
          <w:u w:val="single"/>
        </w:rPr>
        <w:tab/>
        <w:tab/>
        <w:tab/>
      </w:r>
      <w:r>
        <w:rPr>
          <w:sz w:val="22"/>
        </w:rPr>
        <w:tab/>
        <w:t xml:space="preserve">Title: </w:t>
      </w:r>
      <w:r>
        <w:rPr>
          <w:sz w:val="22"/>
          <w:u w:val="single"/>
        </w:rPr>
        <w:tab/>
        <w:tab/>
        <w:tab/>
        <w:tab/>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 w:val="left" w:pos="8640" w:leader="none"/>
        </w:tabs>
        <w:rPr/>
      </w:pPr>
      <w:r>
        <w:rPr>
          <w:sz w:val="22"/>
        </w:rPr>
        <w:t xml:space="preserve">Date: </w:t>
      </w:r>
      <w:r>
        <w:rPr>
          <w:sz w:val="22"/>
          <w:u w:val="single"/>
        </w:rPr>
        <w:tab/>
        <w:tab/>
        <w:tab/>
      </w:r>
      <w:r>
        <w:rPr>
          <w:sz w:val="22"/>
        </w:rPr>
        <w:tab/>
        <w:t xml:space="preserve">Date: </w:t>
      </w:r>
      <w:r>
        <w:rPr>
          <w:sz w:val="22"/>
          <w:u w:val="single"/>
        </w:rPr>
        <w:tab/>
        <w:tab/>
        <w:tab/>
        <w:tab/>
      </w:r>
    </w:p>
    <w:p>
      <w:pPr>
        <w:sectPr>
          <w:headerReference w:type="default" r:id="rId3"/>
          <w:footerReference w:type="default" r:id="rId4"/>
          <w:type w:val="nextPage"/>
          <w:pgSz w:w="12240" w:h="15840"/>
          <w:pgMar w:left="1440" w:right="1440" w:gutter="0" w:header="720" w:top="806" w:footer="389" w:bottom="720"/>
          <w:pgNumType w:fmt="decimal"/>
          <w:formProt w:val="false"/>
          <w:textDirection w:val="lrTb"/>
          <w:docGrid w:type="default" w:linePitch="360" w:charSpace="0"/>
        </w:sect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sz w:val="22"/>
          <w:u w:val="single"/>
        </w:rPr>
      </w:pPr>
      <w:r>
        <w:rPr>
          <w:sz w:val="22"/>
          <w:u w:val="single"/>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Exhibit I</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Maximum Hourly Energy Quantity per Energy Index Point</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tbl>
      <w:tblPr>
        <w:tblW w:w="10519" w:type="dxa"/>
        <w:jc w:val="start"/>
        <w:tblInd w:w="-510" w:type="dxa"/>
        <w:tblLayout w:type="fixed"/>
        <w:tblCellMar>
          <w:top w:w="0" w:type="dxa"/>
          <w:start w:w="30" w:type="dxa"/>
          <w:bottom w:w="0" w:type="dxa"/>
          <w:end w:w="30" w:type="dxa"/>
        </w:tblCellMar>
      </w:tblPr>
      <w:tblGrid>
        <w:gridCol w:w="1710"/>
        <w:gridCol w:w="1170"/>
        <w:gridCol w:w="1170"/>
        <w:gridCol w:w="949"/>
        <w:gridCol w:w="569"/>
        <w:gridCol w:w="1562"/>
        <w:gridCol w:w="1150"/>
        <w:gridCol w:w="1183"/>
        <w:gridCol w:w="1056"/>
      </w:tblGrid>
      <w:tr>
        <w:trPr>
          <w:trHeight w:val="247" w:hRule="atLeast"/>
        </w:trPr>
        <w:tc>
          <w:tcPr>
            <w:tcW w:w="1710" w:type="dxa"/>
            <w:tcBorders/>
          </w:tcPr>
          <w:p>
            <w:pPr>
              <w:pStyle w:val="Normal"/>
              <w:widowControl/>
              <w:snapToGrid w:val="false"/>
              <w:jc w:val="end"/>
              <w:rPr>
                <w:rFonts w:ascii="Arial" w:hAnsi="Arial" w:cs="Arial"/>
                <w:color w:val="000000"/>
              </w:rPr>
            </w:pPr>
            <w:r>
              <w:rPr>
                <w:rFonts w:cs="Arial" w:ascii="Arial" w:hAnsi="Arial"/>
                <w:color w:val="000000"/>
              </w:rPr>
            </w:r>
          </w:p>
        </w:tc>
        <w:tc>
          <w:tcPr>
            <w:tcW w:w="1170" w:type="dxa"/>
            <w:tcBorders>
              <w:top w:val="single" w:sz="6" w:space="0" w:color="000000"/>
              <w:start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Cinergy</w:t>
            </w:r>
          </w:p>
        </w:tc>
        <w:tc>
          <w:tcPr>
            <w:tcW w:w="1170" w:type="dxa"/>
            <w:tcBorders>
              <w:top w:val="single" w:sz="6" w:space="0" w:color="000000"/>
              <w:start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ComEd</w:t>
            </w:r>
          </w:p>
        </w:tc>
        <w:tc>
          <w:tcPr>
            <w:tcW w:w="949" w:type="dxa"/>
            <w:tcBorders>
              <w:top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TVA</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op w:val="single" w:sz="6" w:space="0" w:color="000000"/>
              <w:start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Cinergy</w:t>
            </w:r>
          </w:p>
        </w:tc>
        <w:tc>
          <w:tcPr>
            <w:tcW w:w="1183" w:type="dxa"/>
            <w:tcBorders>
              <w:top w:val="single" w:sz="6" w:space="0" w:color="000000"/>
              <w:start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ComEd</w:t>
            </w:r>
          </w:p>
        </w:tc>
        <w:tc>
          <w:tcPr>
            <w:tcW w:w="1056" w:type="dxa"/>
            <w:tcBorders>
              <w:top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TVA</w:t>
            </w:r>
          </w:p>
        </w:tc>
      </w:tr>
      <w:tr>
        <w:trPr>
          <w:trHeight w:val="247" w:hRule="atLeast"/>
        </w:trPr>
        <w:tc>
          <w:tcPr>
            <w:tcW w:w="1710" w:type="dxa"/>
            <w:tcBorders/>
          </w:tcPr>
          <w:p>
            <w:pPr>
              <w:pStyle w:val="Normal"/>
              <w:widowControl/>
              <w:snapToGrid w:val="false"/>
              <w:jc w:val="end"/>
              <w:rPr>
                <w:rFonts w:ascii="Arial" w:hAnsi="Arial" w:cs="Arial"/>
                <w:color w:val="000000"/>
              </w:rPr>
            </w:pPr>
            <w:r>
              <w:rPr>
                <w:rFonts w:cs="Arial" w:ascii="Arial" w:hAnsi="Arial"/>
                <w:color w:val="000000"/>
              </w:rPr>
            </w:r>
          </w:p>
        </w:tc>
        <w:tc>
          <w:tcPr>
            <w:tcW w:w="1170" w:type="dxa"/>
            <w:tcBorders>
              <w:start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170" w:type="dxa"/>
            <w:tcBorders>
              <w:start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949" w:type="dxa"/>
            <w:tcBorders>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start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183" w:type="dxa"/>
            <w:tcBorders>
              <w:start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056" w:type="dxa"/>
            <w:tcBorders>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r>
      <w:tr>
        <w:trPr>
          <w:trHeight w:val="247" w:hRule="atLeast"/>
        </w:trPr>
        <w:tc>
          <w:tcPr>
            <w:tcW w:w="1710" w:type="dxa"/>
            <w:tcBorders/>
          </w:tcPr>
          <w:p>
            <w:pPr>
              <w:pStyle w:val="Normal"/>
              <w:widowControl/>
              <w:snapToGrid w:val="false"/>
              <w:jc w:val="end"/>
              <w:rPr>
                <w:rFonts w:ascii="Arial" w:hAnsi="Arial" w:cs="Arial"/>
                <w:color w:val="000000"/>
              </w:rPr>
            </w:pPr>
            <w:r>
              <w:rPr>
                <w:rFonts w:cs="Arial" w:ascii="Arial" w:hAnsi="Arial"/>
                <w:color w:val="000000"/>
              </w:rPr>
            </w:r>
          </w:p>
        </w:tc>
        <w:tc>
          <w:tcPr>
            <w:tcW w:w="1170" w:type="dxa"/>
            <w:tcBorders>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170" w:type="dxa"/>
            <w:tcBorders>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949" w:type="dxa"/>
            <w:tcBorders>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183" w:type="dxa"/>
            <w:tcBorders>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056" w:type="dxa"/>
            <w:tcBorders>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September-00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January-03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October-00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February-03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November-00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March-03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December-00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April-03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January-01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May-03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February-01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June-03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March-01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July-03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April-01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August-03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May-01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September-03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June-01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October-03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July-01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November-03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August-01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December-03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September-01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January-04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October-01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February-04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November-01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March-04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December-01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April-04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January-02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May-04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February-02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June-04</w:t>
            </w:r>
          </w:p>
        </w:tc>
        <w:tc>
          <w:tcPr>
            <w:tcW w:w="1150" w:type="dxa"/>
            <w:tcBorders>
              <w:top w:val="single" w:sz="6" w:space="0" w:color="000000"/>
              <w:start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March-02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July-04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April-02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August-04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May-02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June-02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July-02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August-02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September-02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October-02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November-02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December-02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bl>
    <w:p>
      <w:pPr>
        <w:sectPr>
          <w:headerReference w:type="default" r:id="rId5"/>
          <w:headerReference w:type="first" r:id="rId6"/>
          <w:footerReference w:type="default" r:id="rId7"/>
          <w:footerReference w:type="first" r:id="rId8"/>
          <w:type w:val="nextPage"/>
          <w:pgSz w:w="12240" w:h="15840"/>
          <w:pgMar w:left="1440" w:right="1440" w:gutter="0" w:header="720" w:top="806" w:footer="389" w:bottom="720"/>
          <w:pgNumType w:fmt="decimal"/>
          <w:formProt w:val="false"/>
          <w:textDirection w:val="lrTb"/>
          <w:docGrid w:type="default" w:linePitch="360" w:charSpace="0"/>
        </w:sectPr>
      </w:pP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Heading1"/>
        <w:widowControl/>
        <w:ind w:hanging="0" w:start="0"/>
        <w:rPr/>
      </w:pPr>
      <w:r>
        <w:rPr/>
        <w:t>ASSOCIATED GAS INDEX</w:t>
      </w:r>
    </w:p>
    <w:p>
      <w:pPr>
        <w:pStyle w:val="Normal"/>
        <w:widowControl/>
        <w:rPr/>
      </w:pPr>
      <w:r>
        <w:rPr/>
      </w:r>
    </w:p>
    <w:p>
      <w:pPr>
        <w:pStyle w:val="Normal"/>
        <w:widowControl/>
        <w:rPr/>
      </w:pPr>
      <w:r>
        <w:rPr/>
        <w:t>The Associated Gas Index for each Energy Index Point shall be:</w:t>
      </w:r>
    </w:p>
    <w:p>
      <w:pPr>
        <w:pStyle w:val="Normal"/>
        <w:widowControl/>
        <w:rPr/>
      </w:pPr>
      <w:r>
        <w:rPr/>
      </w:r>
    </w:p>
    <w:p>
      <w:pPr>
        <w:pStyle w:val="Header"/>
        <w:widowControl/>
        <w:tabs>
          <w:tab w:val="clear" w:pos="4320"/>
          <w:tab w:val="clear" w:pos="8640"/>
          <w:tab w:val="left" w:pos="3150" w:leader="none"/>
          <w:tab w:val="left" w:pos="3420" w:leader="none"/>
          <w:tab w:val="left" w:pos="3690" w:leader="none"/>
          <w:tab w:val="right" w:pos="9180" w:leader="none"/>
        </w:tabs>
        <w:rPr/>
      </w:pPr>
      <w:r>
        <w:rPr/>
        <w:t>Into TVA Summer Gas Index</w:t>
        <w:tab/>
        <w:t xml:space="preserve">= </w:t>
        <w:tab/>
        <w:t xml:space="preserve">Inside FERC South Louisiana Henry Hub </w:t>
        <w:tab/>
        <w:t>+  U.S.$0.16</w:t>
      </w:r>
    </w:p>
    <w:p>
      <w:pPr>
        <w:pStyle w:val="Normal"/>
        <w:widowControl/>
        <w:tabs>
          <w:tab w:val="clear" w:pos="720"/>
          <w:tab w:val="left" w:pos="3150" w:leader="none"/>
          <w:tab w:val="left" w:pos="3420" w:leader="none"/>
          <w:tab w:val="left" w:pos="3690" w:leader="none"/>
          <w:tab w:val="right" w:pos="9180" w:leader="none"/>
        </w:tabs>
        <w:rPr/>
      </w:pPr>
      <w:r>
        <w:rPr/>
        <w:t>Into TVA Non-Summer Gas Index</w:t>
        <w:tab/>
        <w:t xml:space="preserve">= </w:t>
        <w:tab/>
        <w:t xml:space="preserve">Inside FERC South Louisiana Henry Hub </w:t>
        <w:tab/>
        <w:t>+  U.S.$0.32</w:t>
      </w:r>
    </w:p>
    <w:p>
      <w:pPr>
        <w:pStyle w:val="Normal"/>
        <w:widowControl/>
        <w:tabs>
          <w:tab w:val="clear" w:pos="720"/>
          <w:tab w:val="left" w:pos="3150" w:leader="none"/>
          <w:tab w:val="left" w:pos="3420" w:leader="none"/>
          <w:tab w:val="left" w:pos="3690" w:leader="none"/>
          <w:tab w:val="right" w:pos="9180" w:leader="none"/>
        </w:tabs>
        <w:rPr/>
      </w:pPr>
      <w:r>
        <w:rPr/>
      </w:r>
    </w:p>
    <w:p>
      <w:pPr>
        <w:pStyle w:val="Normal"/>
        <w:widowControl/>
        <w:tabs>
          <w:tab w:val="clear" w:pos="720"/>
          <w:tab w:val="left" w:pos="3150" w:leader="none"/>
          <w:tab w:val="left" w:pos="3420" w:leader="none"/>
          <w:tab w:val="left" w:pos="3690" w:leader="none"/>
          <w:tab w:val="right" w:pos="9180" w:leader="none"/>
        </w:tabs>
        <w:rPr/>
      </w:pPr>
      <w:r>
        <w:rPr/>
        <w:t>Into ComEd Summer Gas Index</w:t>
        <w:tab/>
        <w:t xml:space="preserve">= </w:t>
        <w:tab/>
        <w:t>Inside FERC ANR Louisiana</w:t>
        <w:tab/>
        <w:t>+  U.S.$0.20</w:t>
      </w:r>
    </w:p>
    <w:p>
      <w:pPr>
        <w:pStyle w:val="Normal"/>
        <w:widowControl/>
        <w:tabs>
          <w:tab w:val="clear" w:pos="720"/>
          <w:tab w:val="left" w:pos="3150" w:leader="none"/>
          <w:tab w:val="left" w:pos="3420" w:leader="none"/>
          <w:tab w:val="left" w:pos="3690" w:leader="none"/>
          <w:tab w:val="right" w:pos="9180" w:leader="none"/>
        </w:tabs>
        <w:rPr/>
      </w:pPr>
      <w:r>
        <w:rPr/>
        <w:t>Into ComEd Non-Summer Gas Index</w:t>
        <w:tab/>
        <w:t xml:space="preserve">= </w:t>
        <w:tab/>
        <w:t>Inside FERC ANR Louisiana</w:t>
        <w:tab/>
        <w:t>+  U.S.$0.53</w:t>
      </w:r>
    </w:p>
    <w:p>
      <w:pPr>
        <w:pStyle w:val="Normal"/>
        <w:widowControl/>
        <w:tabs>
          <w:tab w:val="clear" w:pos="720"/>
          <w:tab w:val="left" w:pos="3150" w:leader="none"/>
          <w:tab w:val="left" w:pos="3420" w:leader="none"/>
          <w:tab w:val="left" w:pos="3690" w:leader="none"/>
          <w:tab w:val="right" w:pos="9180" w:leader="none"/>
        </w:tabs>
        <w:rPr/>
      </w:pPr>
      <w:r>
        <w:rPr/>
      </w:r>
    </w:p>
    <w:p>
      <w:pPr>
        <w:pStyle w:val="Normal"/>
        <w:widowControl/>
        <w:tabs>
          <w:tab w:val="clear" w:pos="720"/>
          <w:tab w:val="left" w:pos="3150" w:leader="none"/>
          <w:tab w:val="left" w:pos="3420" w:leader="none"/>
          <w:tab w:val="left" w:pos="3690" w:leader="none"/>
          <w:tab w:val="right" w:pos="9180" w:leader="none"/>
        </w:tabs>
        <w:rPr/>
      </w:pPr>
      <w:r>
        <w:rPr/>
        <w:t>Into Cinergy Summer Gas Index</w:t>
        <w:tab/>
        <w:t>=</w:t>
        <w:tab/>
        <w:t>Inside FERC South Louisiana Henry Hub</w:t>
        <w:tab/>
        <w:t>+  U.S.$0.23</w:t>
      </w:r>
    </w:p>
    <w:p>
      <w:pPr>
        <w:pStyle w:val="Normal"/>
        <w:widowControl/>
        <w:tabs>
          <w:tab w:val="clear" w:pos="720"/>
          <w:tab w:val="left" w:pos="3150" w:leader="none"/>
          <w:tab w:val="left" w:pos="3420" w:leader="none"/>
          <w:tab w:val="left" w:pos="3690" w:leader="none"/>
          <w:tab w:val="right" w:pos="9180" w:leader="none"/>
        </w:tabs>
        <w:rPr/>
      </w:pPr>
      <w:r>
        <w:rPr/>
        <w:t>Into Cinergy Non-Summer Gas Index</w:t>
        <w:tab/>
        <w:t>=</w:t>
        <w:tab/>
        <w:t>Inside FERC South Louisiana Henry Hub</w:t>
        <w:tab/>
        <w:t>+  U.S.$0.40</w:t>
      </w:r>
    </w:p>
    <w:p>
      <w:pPr>
        <w:pStyle w:val="Normal"/>
        <w:widowControl/>
        <w:rPr/>
      </w:pPr>
      <w:r>
        <w:rPr/>
      </w:r>
    </w:p>
    <w:p>
      <w:pPr>
        <w:pStyle w:val="BodyTextIndent"/>
        <w:widowControl/>
        <w:tabs>
          <w:tab w:val="clear" w:pos="6480"/>
          <w:tab w:val="left" w:pos="90" w:leader="none"/>
          <w:tab w:val="left" w:pos="2160" w:leader="none"/>
          <w:tab w:val="left" w:pos="2700" w:leader="none"/>
          <w:tab w:val="left" w:pos="5760" w:leader="none"/>
          <w:tab w:val="left" w:pos="6840" w:leader="none"/>
        </w:tabs>
        <w:ind w:start="0" w:end="0"/>
        <w:rPr/>
      </w:pPr>
      <w:r>
        <w:rPr/>
        <w:t xml:space="preserve">where, </w:t>
      </w:r>
    </w:p>
    <w:p>
      <w:pPr>
        <w:pStyle w:val="BodyTextIndent"/>
        <w:widowControl/>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t>"Inside FERC South Louisiana Henry Hub" means the</w:t>
      </w:r>
      <w:r>
        <w:rPr>
          <w:color w:val="000000"/>
        </w:rPr>
        <w:t xml:space="preserve"> South Louisiana  - Henry Hub Index price for delivery during the applicable Month containing the Calculation Period in the "Market Center Spot-Gas Prices" section located in the first issue of Inside F.E.R.C.'s Gas Market Report published during the applicable Month containing the Calculation Period.</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color w:val="000000"/>
        </w:rPr>
      </w:pPr>
      <w:r>
        <w:rPr>
          <w:color w:val="000000"/>
        </w:rPr>
      </w:r>
    </w:p>
    <w:p>
      <w:pPr>
        <w:pStyle w:val="Normal"/>
        <w:widowControl/>
        <w:spacing w:lineRule="atLeast" w:line="240"/>
        <w:jc w:val="both"/>
        <w:rPr/>
      </w:pPr>
      <w:r>
        <w:rPr/>
        <w:t xml:space="preserve">"Inside FERC ANR Louisiana" means </w:t>
      </w:r>
      <w:r>
        <w:rPr>
          <w:color w:val="000000"/>
        </w:rPr>
        <w:t>the ANR Pipeline Co. - Louisiana Index price for delivery during the applicable Month containing the Calculation Period in the "Prices of Spot Gas Delivered to Pipelines" section located in the first issue of Inside F.E.R.C.'s Gas Market Report published during the applicable Month containing the Calculation Period.</w:t>
      </w:r>
    </w:p>
    <w:p>
      <w:pPr>
        <w:pStyle w:val="Normal"/>
        <w:widowControl/>
        <w:spacing w:lineRule="atLeast" w:line="240"/>
        <w:jc w:val="both"/>
        <w:rPr>
          <w:color w:val="000000"/>
        </w:rPr>
      </w:pPr>
      <w:r>
        <w:rPr>
          <w:color w:val="000000"/>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color w:val="000000"/>
        </w:rPr>
      </w:pPr>
      <w:r>
        <w:rPr>
          <w:color w:val="000000"/>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color w:val="000000"/>
        </w:rPr>
      </w:pPr>
      <w:r>
        <w:rPr>
          <w:color w:val="000000"/>
        </w:rPr>
      </w:r>
      <w:r>
        <w:br w:type="page"/>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III</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jc w:val="center"/>
        <w:rPr>
          <w:b/>
        </w:rPr>
      </w:pPr>
      <w:r>
        <w:rPr>
          <w:b/>
        </w:rPr>
        <w:t>PREMIUM</w:t>
      </w:r>
    </w:p>
    <w:p>
      <w:pPr>
        <w:sectPr>
          <w:headerReference w:type="default" r:id="rId9"/>
          <w:headerReference w:type="first" r:id="rId10"/>
          <w:footerReference w:type="default" r:id="rId11"/>
          <w:footerReference w:type="first" r:id="rId12"/>
          <w:type w:val="nextPage"/>
          <w:pgSz w:w="12240" w:h="15840"/>
          <w:pgMar w:left="1440" w:right="1440" w:gutter="0" w:header="720" w:top="806" w:footer="389" w:bottom="720"/>
          <w:pgNumType w:fmt="decimal"/>
          <w:formProt w:val="false"/>
          <w:textDirection w:val="lrTb"/>
          <w:docGrid w:type="default" w:linePitch="360" w:charSpace="0"/>
        </w:sectPr>
      </w:pP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b/>
        </w:rPr>
      </w:pPr>
      <w:r>
        <w:rPr>
          <w:b/>
        </w:rPr>
      </w:r>
    </w:p>
    <w:tbl>
      <w:tblPr>
        <w:tblW w:w="2887" w:type="dxa"/>
        <w:jc w:val="start"/>
        <w:tblInd w:w="0" w:type="dxa"/>
        <w:tblLayout w:type="fixed"/>
        <w:tblCellMar>
          <w:top w:w="0" w:type="dxa"/>
          <w:start w:w="30" w:type="dxa"/>
          <w:bottom w:w="0" w:type="dxa"/>
          <w:end w:w="30" w:type="dxa"/>
        </w:tblCellMar>
      </w:tblPr>
      <w:tblGrid>
        <w:gridCol w:w="1010"/>
        <w:gridCol w:w="1877"/>
      </w:tblGrid>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 xml:space="preserve">Financial </w:t>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EPMI Payment</w:t>
            </w:r>
          </w:p>
        </w:tc>
      </w:tr>
      <w:tr>
        <w:trPr>
          <w:trHeight w:val="262" w:hRule="atLeast"/>
        </w:trPr>
        <w:tc>
          <w:tcPr>
            <w:tcW w:w="1010" w:type="dxa"/>
            <w:tcBorders/>
          </w:tcPr>
          <w:p>
            <w:pPr>
              <w:pStyle w:val="Normal"/>
              <w:jc w:val="center"/>
              <w:rPr>
                <w:rFonts w:ascii="Arial" w:hAnsi="Arial" w:cs="Arial"/>
                <w:color w:val="000000"/>
                <w:lang w:eastAsia="en-US"/>
              </w:rPr>
            </w:pPr>
            <w:r>
              <w:rPr>
                <w:rFonts w:cs="Arial" w:ascii="Arial" w:hAnsi="Arial"/>
                <w:color w:val="000000"/>
                <w:lang w:eastAsia="en-US"/>
              </w:rPr>
              <w:t>Month</w:t>
            </w:r>
          </w:p>
        </w:tc>
        <w:tc>
          <w:tcPr>
            <w:tcW w:w="1877" w:type="dxa"/>
            <w:tcBorders/>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to Merrill Lynch</w:t>
            </w:r>
          </w:p>
        </w:tc>
      </w:tr>
      <w:tr>
        <w:trPr>
          <w:trHeight w:val="262" w:hRule="atLeast"/>
        </w:trPr>
        <w:tc>
          <w:tcPr>
            <w:tcW w:w="10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09/01/00</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10/01/00</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11/01/00</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12/01/00</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01/01/01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02/01/01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03/01/01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04/01/01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05/01/01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06/01/01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07/01/01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08/01/01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09/01/01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10/01/01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11/01/01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12/01/01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01/01/02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02/01/02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03/01/02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04/01/02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05/01/02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06/01/02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07/01/02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08/01/02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09/01/02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10/01/02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11/01/02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12/01/02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01/01/03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02/01/03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03/01/03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04/01/03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05/01/03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Financial</w:t>
            </w:r>
          </w:p>
        </w:tc>
      </w:tr>
      <w:tr>
        <w:trPr>
          <w:trHeight w:val="262" w:hRule="atLeast"/>
        </w:trPr>
        <w:tc>
          <w:tcPr>
            <w:tcW w:w="10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EPMI Payment</w:t>
            </w:r>
          </w:p>
        </w:tc>
      </w:tr>
      <w:tr>
        <w:trPr>
          <w:trHeight w:val="262" w:hRule="atLeast"/>
        </w:trPr>
        <w:tc>
          <w:tcPr>
            <w:tcW w:w="1010" w:type="dxa"/>
            <w:tcBorders/>
          </w:tcPr>
          <w:p>
            <w:pPr>
              <w:pStyle w:val="Normal"/>
              <w:jc w:val="center"/>
              <w:rPr>
                <w:rFonts w:ascii="Arial" w:hAnsi="Arial" w:cs="Arial"/>
                <w:color w:val="000000"/>
                <w:lang w:eastAsia="en-US"/>
              </w:rPr>
            </w:pPr>
            <w:r>
              <w:rPr>
                <w:rFonts w:cs="Arial" w:ascii="Arial" w:hAnsi="Arial"/>
                <w:color w:val="000000"/>
                <w:lang w:eastAsia="en-US"/>
              </w:rPr>
              <w:t>Month</w:t>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to Merrill Lynch</w:t>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06/01/03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07/01/03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08/01/03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09/01/03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10/01/03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11/01/03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12/01/03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01/01/04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02/01/04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03/01/04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04/01/04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05/01/04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06/01/04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07/01/04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08/01/04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bl>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jc w:val="center"/>
        <w:rPr/>
      </w:pPr>
      <w:r>
        <w:rPr/>
      </w:r>
    </w:p>
    <w:sectPr>
      <w:type w:val="continuous"/>
      <w:pgSz w:w="12240" w:h="15840"/>
      <w:pgMar w:left="1440" w:right="1440" w:gutter="0" w:header="720" w:top="806" w:footer="389" w:bottom="72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/mnt/main-storage/datasets/enron-docs/doc/Merrill_Financial_Confirm_1a-7fdfa0edf62062327f2151ab701b3d8ce462233b78791eac0ca683b4757870ab.doc</w:t>
    </w:r>
    <w:r>
      <w:rPr>
        <w:sz w:val="12"/>
        <w:rFonts w:cs="Arial" w:ascii="Arial" w:hAnsi="Arial"/>
      </w:rPr>
      <w:fldChar w:fldCharType="end"/>
    </w:r>
  </w:p>
  <w:p>
    <w:pPr>
      <w:pStyle w:val="Footer"/>
      <w:widowControl/>
      <w:rPr>
        <w:rFonts w:ascii="Arial" w:hAnsi="Arial" w:cs="Arial"/>
        <w:sz w:val="12"/>
      </w:rPr>
    </w:pPr>
    <w:r>
      <w:rPr>
        <w:rFonts w:cs="Arial" w:ascii="Arial" w:hAnsi="Arial"/>
        <w:sz w:val="12"/>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/mnt/main-storage/datasets/enron-docs/doc/Merrill_Financial_Confirm_1a-7fdfa0edf62062327f2151ab701b3d8ce462233b78791eac0ca683b4757870ab.doc</w:t>
    </w:r>
    <w:r>
      <w:rPr>
        <w:sz w:val="12"/>
        <w:rFonts w:cs="Arial" w:ascii="Arial" w:hAnsi="Arial"/>
      </w:rPr>
      <w:fldChar w:fldCharType="end"/>
    </w:r>
  </w:p>
  <w:p>
    <w:pPr>
      <w:pStyle w:val="Footer"/>
      <w:widowControl/>
      <w:rPr>
        <w:rFonts w:ascii="Arial" w:hAnsi="Arial" w:cs="Arial"/>
        <w:sz w:val="12"/>
      </w:rPr>
    </w:pPr>
    <w:r>
      <w:rPr>
        <w:rFonts w:cs="Arial" w:ascii="Arial" w:hAnsi="Arial"/>
        <w:sz w:val="12"/>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/mnt/main-storage/datasets/enron-docs/doc/Merrill_Financial_Confirm_1a-7fdfa0edf62062327f2151ab701b3d8ce462233b78791eac0ca683b4757870ab.doc</w:t>
    </w:r>
    <w:r>
      <w:rPr>
        <w:sz w:val="12"/>
        <w:rFonts w:cs="Arial" w:ascii="Arial" w:hAnsi="Arial"/>
      </w:rPr>
      <w:fldChar w:fldCharType="end"/>
    </w:r>
  </w:p>
  <w:p>
    <w:pPr>
      <w:pStyle w:val="Footer"/>
      <w:widowControl/>
      <w:rPr>
        <w:rFonts w:ascii="Arial" w:hAnsi="Arial" w:cs="Arial"/>
        <w:sz w:val="12"/>
      </w:rPr>
    </w:pPr>
    <w:r>
      <w:rPr>
        <w:rFonts w:cs="Arial" w:ascii="Arial" w:hAnsi="Arial"/>
        <w:sz w:val="12"/>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Arial" w:hAnsi="Arial" w:cs="Arial"/>
        <w:sz w:val="16"/>
      </w:rPr>
    </w:pPr>
    <w:r>
      <w:rPr>
        <w:rFonts w:cs="Arial" w:ascii="Arial" w:hAnsi="Arial"/>
        <w:sz w:val="16"/>
      </w:rPr>
      <w:t xml:space="preserve">Deal No._______________ </w:t>
    </w:r>
  </w:p>
  <w:p>
    <w:pPr>
      <w:pStyle w:val="Header"/>
      <w:widowControl/>
      <w:jc w:val="end"/>
      <w:rPr>
        <w:rFonts w:ascii="Arial" w:hAnsi="Arial" w:cs="Arial"/>
        <w:sz w:val="16"/>
      </w:rPr>
    </w:pPr>
    <w:r>
      <w:rPr>
        <w:rFonts w:cs="Arial" w:ascii="Arial" w:hAnsi="Arial"/>
        <w:sz w:val="16"/>
      </w:rPr>
    </w:r>
  </w:p>
  <w:p>
    <w:pPr>
      <w:pStyle w:val="Header"/>
      <w:widowControl/>
      <w:rPr>
        <w:rFonts w:ascii="Arial" w:hAnsi="Arial" w:cs="Arial"/>
        <w:sz w:val="16"/>
      </w:rPr>
    </w:pPr>
    <w:r>
      <w:rPr>
        <w:rFonts w:cs="Arial" w:ascii="Arial" w:hAnsi="Arial"/>
        <w:sz w:val="16"/>
      </w:rPr>
      <w:tab/>
    </w:r>
  </w:p>
  <w:p>
    <w:pPr>
      <w:pStyle w:val="Header"/>
      <w:widowControl/>
      <w:jc w:val="end"/>
      <w:rPr>
        <w:rFonts w:ascii="Arial" w:hAnsi="Arial" w:cs="Arial"/>
        <w:sz w:val="16"/>
      </w:rPr>
    </w:pPr>
    <w:r>
      <w:rPr>
        <w:rFonts w:cs="Arial" w:ascii="Arial" w:hAnsi="Arial"/>
        <w:sz w:val="16"/>
      </w:rPr>
    </w:r>
  </w:p>
  <w:p>
    <w:pPr>
      <w:pStyle w:val="Header"/>
      <w:widowControl/>
      <w:jc w:val="end"/>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Arial" w:hAnsi="Arial" w:cs="Arial"/>
        <w:sz w:val="16"/>
      </w:rPr>
    </w:pPr>
    <w:r>
      <w:rPr>
        <w:rFonts w:cs="Arial" w:ascii="Arial" w:hAnsi="Arial"/>
        <w:sz w:val="16"/>
      </w:rPr>
      <w:t xml:space="preserve">Deal No._______________ </w:t>
    </w:r>
  </w:p>
  <w:p>
    <w:pPr>
      <w:pStyle w:val="Header"/>
      <w:widowControl/>
      <w:jc w:val="end"/>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Arial" w:hAnsi="Arial" w:cs="Arial"/>
        <w:sz w:val="16"/>
      </w:rPr>
    </w:pPr>
    <w:r>
      <w:rPr>
        <w:rFonts w:cs="Arial" w:ascii="Arial" w:hAnsi="Arial"/>
        <w:sz w:val="16"/>
      </w:rPr>
      <w:t xml:space="preserve">Deal No._______________ </w:t>
    </w:r>
  </w:p>
  <w:p>
    <w:pPr>
      <w:pStyle w:val="Header"/>
      <w:widowControl/>
      <w:jc w:val="end"/>
      <w:rPr>
        <w:rFonts w:ascii="Arial" w:hAnsi="Arial" w:cs="Arial"/>
        <w:sz w:val="16"/>
      </w:rPr>
    </w:pPr>
    <w:r>
      <w:rPr>
        <w:rFonts w:cs="Arial" w:ascii="Arial" w:hAnsi="Arial"/>
        <w:sz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numPr>
        <w:ilvl w:val="2"/>
        <w:numId w:val="1"/>
      </w:numPr>
      <w:jc w:val="center"/>
      <w:outlineLvl w:val="2"/>
    </w:pPr>
    <w:rPr>
      <w:sz w:val="22"/>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214" w:leader="none"/>
      </w:tabs>
      <w:ind w:hanging="0" w:start="1962" w:end="0"/>
      <w:jc w:val="end"/>
    </w:pPr>
    <w:rPr>
      <w:b/>
      <w:sz w:val="22"/>
    </w:rPr>
  </w:style>
  <w:style w:type="paragraph" w:styleId="para">
    <w:name w:val="para"/>
    <w:qFormat/>
    <w:pPr>
      <w:widowControl w:val="false"/>
      <w:bidi w:val="0"/>
    </w:pPr>
    <w:rPr>
      <w:rFonts w:ascii="Times New Roman" w:hAnsi="Times New Roman" w:eastAsia="Times New Roman" w:cs="Times New Roman"/>
      <w:color w:val="auto"/>
      <w:sz w:val="22"/>
      <w:szCs w:val="20"/>
      <w:lang w:val="en-US" w:eastAsia="zh-CN" w:bidi="hi-IN"/>
    </w:rPr>
  </w:style>
  <w:style w:type="paragraph" w:styleId="Justified">
    <w:name w:val="Justified"/>
    <w:basedOn w:val="Normal"/>
    <w:next w:val="Heading2"/>
    <w:qFormat/>
    <w:pPr>
      <w:spacing w:before="0" w:after="120"/>
      <w:jc w:val="both"/>
    </w:pPr>
    <w:rPr>
      <w:sz w:val="22"/>
    </w:rPr>
  </w:style>
  <w:style w:type="paragraph" w:styleId="NormalIndent">
    <w:name w:val="Normal Indent"/>
    <w:basedOn w:val="Normal"/>
    <w:qFormat/>
    <w:pPr>
      <w:ind w:hanging="0" w:start="720" w:end="0"/>
      <w:jc w:val="both"/>
    </w:pPr>
    <w:rPr>
      <w:sz w:val="22"/>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1999-12-29T13:41:00Z</dcterms:created>
  <dc:creator>ECT</dc:creator>
  <dc:description/>
  <dc:language>en-CA</dc:language>
  <cp:lastModifiedBy>Brenda Whitehead</cp:lastModifiedBy>
  <cp:lastPrinted>1999-12-29T14:49:00Z</cp:lastPrinted>
  <dcterms:modified xsi:type="dcterms:W3CDTF">1999-12-29T18:23:00Z</dcterms:modified>
  <cp:revision>6</cp:revision>
  <dc:subject/>
  <dc:title> </dc:title>
</cp:coreProperties>
</file>