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40" w:type="dxa"/>
        <w:jc w:val="start"/>
        <w:tblInd w:w="-612" w:type="dxa"/>
        <w:tblLayout w:type="fixed"/>
        <w:tblCellMar>
          <w:top w:w="0" w:type="dxa"/>
          <w:start w:w="108" w:type="dxa"/>
          <w:bottom w:w="0" w:type="dxa"/>
          <w:end w:w="108" w:type="dxa"/>
        </w:tblCellMar>
      </w:tblPr>
      <w:tblGrid>
        <w:gridCol w:w="4698"/>
        <w:gridCol w:w="4842"/>
      </w:tblGrid>
      <w:tr>
        <w:trPr/>
        <w:tc>
          <w:tcPr>
            <w:tcW w:w="4698" w:type="dxa"/>
            <w:tcBorders/>
          </w:tcPr>
          <w:p>
            <w:pPr>
              <w:pStyle w:val="Header"/>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42" w:type="dxa"/>
            <w:tcBorders/>
          </w:tcPr>
          <w:p>
            <w:pPr>
              <w:pStyle w:val="Normal"/>
              <w:tabs>
                <w:tab w:val="clear" w:pos="720"/>
                <w:tab w:val="left" w:pos="2412" w:leader="none"/>
              </w:tabs>
              <w:ind w:start="1962" w:end="0"/>
              <w:jc w:val="end"/>
              <w:rPr>
                <w:b/>
                <w:sz w:val="22"/>
              </w:rPr>
            </w:pP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Normal"/>
        <w:tabs>
          <w:tab w:val="clear" w:pos="720"/>
          <w:tab w:val="left" w:pos="6480" w:leader="none"/>
        </w:tabs>
        <w:rPr>
          <w:sz w:val="22"/>
        </w:rPr>
      </w:pPr>
      <w:r>
        <w:rPr>
          <w:sz w:val="22"/>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(SWAPTION)</w:t>
      </w:r>
    </w:p>
    <w:p>
      <w:pPr>
        <w:pStyle w:val="Normal"/>
        <w:tabs>
          <w:tab w:val="clear" w:pos="720"/>
          <w:tab w:val="left" w:pos="6480" w:leader="none"/>
        </w:tabs>
        <w:rPr>
          <w:b/>
          <w:sz w:val="22"/>
        </w:rPr>
      </w:pPr>
      <w:r>
        <w:rPr>
          <w:b/>
          <w:sz w:val="22"/>
        </w:rPr>
      </w:r>
    </w:p>
    <w:p>
      <w:pPr>
        <w:pStyle w:val="Normal"/>
        <w:tabs>
          <w:tab w:val="clear" w:pos="720"/>
          <w:tab w:val="left" w:pos="6480" w:leader="none"/>
        </w:tabs>
        <w:rPr>
          <w:sz w:val="22"/>
        </w:rPr>
      </w:pPr>
      <w:r>
        <w:rPr>
          <w:sz w:val="22"/>
        </w:rPr>
      </w:r>
    </w:p>
    <w:p>
      <w:pPr>
        <w:pStyle w:val="Normal"/>
        <w:tabs>
          <w:tab w:val="clear" w:pos="720"/>
          <w:tab w:val="left" w:pos="2160" w:leader="none"/>
          <w:tab w:val="left" w:pos="6480" w:leader="none"/>
        </w:tabs>
        <w:ind w:start="-720" w:end="0"/>
        <w:rPr>
          <w:sz w:val="22"/>
        </w:rPr>
      </w:pPr>
      <w:r>
        <w:rPr>
          <w:sz w:val="22"/>
        </w:rPr>
        <w:t>Date:</w:t>
        <w:tab/>
        <w:t>December _____, 1999</w:t>
      </w:r>
    </w:p>
    <w:p>
      <w:pPr>
        <w:pStyle w:val="Normal"/>
        <w:tabs>
          <w:tab w:val="clear" w:pos="720"/>
          <w:tab w:val="left" w:pos="2160" w:leader="none"/>
          <w:tab w:val="left" w:pos="6480" w:leader="none"/>
        </w:tabs>
        <w:ind w:start="-720" w:end="0"/>
        <w:rPr/>
      </w:pPr>
      <w:r>
        <w:rPr>
          <w:sz w:val="22"/>
        </w:rPr>
        <w:t>To:</w:t>
        <w:tab/>
      </w:r>
      <w:r>
        <w:rPr>
          <w:sz w:val="22"/>
          <w:u w:val="single"/>
        </w:rPr>
        <w:tab/>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sz w:val="22"/>
          <w:u w:val="single"/>
        </w:rPr>
        <w:tab/>
      </w:r>
    </w:p>
    <w:p>
      <w:pPr>
        <w:pStyle w:val="Normal"/>
        <w:tabs>
          <w:tab w:val="clear" w:pos="720"/>
          <w:tab w:val="left" w:pos="2160" w:leader="none"/>
          <w:tab w:val="left" w:pos="6480" w:leader="none"/>
        </w:tabs>
        <w:ind w:start="-720" w:end="0"/>
        <w:rPr>
          <w:sz w:val="22"/>
        </w:rPr>
      </w:pPr>
      <w:r>
        <w:rPr>
          <w:sz w:val="22"/>
        </w:rPr>
        <w:t>Fax No.:</w:t>
        <w:tab/>
      </w:r>
      <w:r>
        <w:rPr>
          <w:sz w:val="22"/>
          <w:u w:val="single"/>
        </w:rPr>
        <w:tab/>
      </w:r>
    </w:p>
    <w:p>
      <w:pPr>
        <w:pStyle w:val="Normal"/>
        <w:tabs>
          <w:tab w:val="clear" w:pos="720"/>
          <w:tab w:val="left" w:pos="2160" w:leader="none"/>
          <w:tab w:val="left" w:pos="6480" w:leader="none"/>
        </w:tabs>
        <w:ind w:start="-720" w:end="0"/>
        <w:rPr>
          <w:sz w:val="22"/>
        </w:rPr>
      </w:pPr>
      <w:r>
        <w:rPr>
          <w:sz w:val="22"/>
        </w:rPr>
        <w:t>From:</w:t>
        <w:tab/>
        <w:t>Enron North America Corp. (“ENA”)</w:t>
      </w:r>
    </w:p>
    <w:p>
      <w:pPr>
        <w:pStyle w:val="Normal"/>
        <w:tabs>
          <w:tab w:val="clear" w:pos="720"/>
          <w:tab w:val="left" w:pos="2160" w:leader="none"/>
          <w:tab w:val="left" w:pos="6480" w:leader="none"/>
        </w:tabs>
        <w:ind w:start="-720" w:end="0"/>
        <w:rPr/>
      </w:pPr>
      <w:r>
        <w:rPr>
          <w:sz w:val="22"/>
        </w:rPr>
        <w:t>Re:</w:t>
        <w:tab/>
        <w:t xml:space="preserve">Swaption ENA Deal No. </w:t>
      </w:r>
      <w:r>
        <w:rPr>
          <w:sz w:val="22"/>
          <w:u w:val="single"/>
        </w:rPr>
        <w:tab/>
      </w:r>
    </w:p>
    <w:p>
      <w:pPr>
        <w:pStyle w:val="Normal"/>
        <w:tabs>
          <w:tab w:val="clear" w:pos="720"/>
          <w:tab w:val="left" w:pos="2160" w:leader="none"/>
          <w:tab w:val="left" w:pos="6480" w:leader="none"/>
        </w:tabs>
        <w:ind w:start="-720" w:end="0"/>
        <w:rPr>
          <w:sz w:val="22"/>
          <w:u w:val="single"/>
        </w:rPr>
      </w:pPr>
      <w:r>
        <w:rPr>
          <w:sz w:val="22"/>
          <w:u w:val="single"/>
        </w:rPr>
      </w:r>
    </w:p>
    <w:p>
      <w:pPr>
        <w:pStyle w:val="BodyTextIndent"/>
        <w:rPr>
          <w:sz w:val="22"/>
        </w:rPr>
      </w:pPr>
      <w:r>
        <w:rPr>
          <w:sz w:val="22"/>
        </w:rPr>
      </w:r>
    </w:p>
    <w:p>
      <w:pPr>
        <w:pStyle w:val="BodyTextIndent"/>
        <w:rPr>
          <w:sz w:val="22"/>
        </w:rPr>
      </w:pPr>
      <w:r>
        <w:rPr>
          <w:sz w:val="22"/>
        </w:rPr>
        <w:tab/>
        <w:t xml:space="preserve">The purpose of this letter is to confirm the terms and conditions of the Transaction entered into between us on the Trade Date specified below (the "Transaction").  This letter constitutes a "Confirmation" as referred to in the ISDA Master Agreement specified below. </w:t>
      </w:r>
    </w:p>
    <w:p>
      <w:pPr>
        <w:pStyle w:val="BodyTextIndent"/>
        <w:rPr>
          <w:sz w:val="22"/>
        </w:rPr>
      </w:pPr>
      <w:r>
        <w:rPr>
          <w:sz w:val="22"/>
        </w:rPr>
      </w:r>
    </w:p>
    <w:p>
      <w:pPr>
        <w:pStyle w:val="BodyTextIndent"/>
        <w:rPr>
          <w:sz w:val="22"/>
        </w:rPr>
      </w:pPr>
      <w:r>
        <w:rPr>
          <w:sz w:val="22"/>
        </w:rPr>
        <w:tab/>
        <w:t xml:space="preserve">1.  This Confirmation supplements, forms part of, and is subject to an ISDA Master Agreement, dated as of _____________________, as amended and supplemented from time to time (the "Agreement"), between you and us.  All provisions contained in the Agreement govern this Confirmation except as expressly modified below. </w:t>
      </w:r>
    </w:p>
    <w:p>
      <w:pPr>
        <w:pStyle w:val="BodyTextIndent"/>
        <w:rPr>
          <w:sz w:val="22"/>
        </w:rPr>
      </w:pPr>
      <w:r>
        <w:rPr>
          <w:sz w:val="22"/>
        </w:rPr>
      </w:r>
    </w:p>
    <w:p>
      <w:pPr>
        <w:pStyle w:val="BodyTextIndent"/>
        <w:rPr>
          <w:sz w:val="22"/>
        </w:rPr>
      </w:pPr>
      <w:r>
        <w:rPr>
          <w:sz w:val="22"/>
        </w:rPr>
        <w:tab/>
        <w:t>2.  The terms of the particular Transaction to which this Confirmation relates are as follows:</w:t>
      </w:r>
    </w:p>
    <w:p>
      <w:pPr>
        <w:pStyle w:val="BodyTextIndent"/>
        <w:rPr>
          <w:sz w:val="22"/>
        </w:rPr>
      </w:pPr>
      <w:r>
        <w:rPr>
          <w:sz w:val="22"/>
        </w:rPr>
      </w:r>
    </w:p>
    <w:p>
      <w:pPr>
        <w:pStyle w:val="BodyTextIndent"/>
        <w:tabs>
          <w:tab w:val="left" w:pos="90" w:leader="none"/>
          <w:tab w:val="left" w:pos="2160" w:leader="none"/>
          <w:tab w:val="left" w:pos="4320" w:leader="none"/>
          <w:tab w:val="left" w:pos="6480" w:leader="none"/>
        </w:tabs>
        <w:rPr>
          <w:b/>
          <w:sz w:val="22"/>
          <w:u w:val="single"/>
        </w:rPr>
      </w:pPr>
      <w:r>
        <w:rPr>
          <w:b/>
          <w:sz w:val="22"/>
          <w:u w:val="single"/>
        </w:rPr>
        <w:t>General Terms for Daily Swaptions:</w:t>
      </w:r>
    </w:p>
    <w:p>
      <w:pPr>
        <w:pStyle w:val="BodyTextIndent"/>
        <w:tabs>
          <w:tab w:val="left" w:pos="90" w:leader="none"/>
          <w:tab w:val="left" w:pos="2160" w:leader="none"/>
          <w:tab w:val="left" w:pos="4320" w:leader="none"/>
          <w:tab w:val="left" w:pos="6480" w:leader="none"/>
        </w:tabs>
        <w:rPr>
          <w:b/>
          <w:sz w:val="22"/>
          <w:u w:val="single"/>
        </w:rPr>
      </w:pPr>
      <w:r>
        <w:rPr>
          <w:b/>
          <w:sz w:val="22"/>
          <w:u w:val="single"/>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Trade Date:</w:t>
        <w:tab/>
        <w:tab/>
        <w:t>December _____, 1999</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Option Style:</w:t>
        <w:tab/>
        <w:tab/>
        <w:t>European</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Option Type:</w:t>
        <w:tab/>
        <w:tab/>
        <w:t>Daily Call Options</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Seller:</w:t>
        <w:tab/>
        <w:tab/>
        <w:t>Counterparty</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Buyer:</w:t>
        <w:tab/>
        <w:tab/>
        <w:t>ENA</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Total Premium:</w:t>
        <w:tab/>
        <w:tab/>
        <w:t>U.S.$______ due Seller, payable in equal monthly installments</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Premium Payment Date(s):</w:t>
        <w:tab/>
        <w:t>[ENA shall pay Counterparty ____________________]</w:t>
      </w:r>
    </w:p>
    <w:p>
      <w:pPr>
        <w:pStyle w:val="BodyTextIndent"/>
        <w:tabs>
          <w:tab w:val="clear" w:pos="90"/>
          <w:tab w:val="left" w:pos="0" w:leader="none"/>
          <w:tab w:val="left" w:pos="2160" w:leader="none"/>
          <w:tab w:val="left" w:pos="2700" w:leader="none"/>
          <w:tab w:val="left" w:pos="6480" w:leader="none"/>
        </w:tabs>
        <w:ind w:hanging="4860" w:start="4140" w:end="-630"/>
        <w:jc w:val="start"/>
        <w:rPr>
          <w:sz w:val="22"/>
        </w:rPr>
      </w:pPr>
      <w:r>
        <w:rPr>
          <w:sz w:val="22"/>
        </w:rPr>
      </w:r>
    </w:p>
    <w:p>
      <w:pPr>
        <w:pStyle w:val="BodyTextIndent"/>
        <w:tabs>
          <w:tab w:val="clear" w:pos="90"/>
          <w:tab w:val="left" w:pos="0" w:leader="none"/>
          <w:tab w:val="left" w:pos="2160" w:leader="none"/>
          <w:tab w:val="left" w:pos="2700" w:leader="none"/>
          <w:tab w:val="left" w:pos="6480" w:leader="none"/>
        </w:tabs>
        <w:ind w:hanging="4860" w:start="4140" w:end="-630"/>
        <w:jc w:val="start"/>
        <w:rPr>
          <w:sz w:val="22"/>
        </w:rPr>
      </w:pPr>
      <w:r>
        <w:rPr>
          <w:sz w:val="22"/>
        </w:rPr>
        <w:tab/>
        <w:t>Physical Settlement:</w:t>
        <w:tab/>
        <w:tab/>
        <w:t>Applicable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strike/>
          <w:sz w:val="22"/>
        </w:rPr>
      </w:pPr>
      <w:r>
        <w:rPr>
          <w:strike/>
          <w:sz w:val="22"/>
        </w:rPr>
      </w:r>
    </w:p>
    <w:p>
      <w:pPr>
        <w:pStyle w:val="BodyTextIndent"/>
        <w:tabs>
          <w:tab w:val="clear" w:pos="90"/>
          <w:tab w:val="left" w:pos="0" w:leader="none"/>
          <w:tab w:val="left" w:pos="81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t>Procedures for Exercise:</w:t>
      </w:r>
    </w:p>
    <w:p>
      <w:pPr>
        <w:pStyle w:val="BodyTextIndent"/>
        <w:tabs>
          <w:tab w:val="left" w:pos="90" w:leader="none"/>
          <w:tab w:val="left" w:pos="2160" w:leader="none"/>
          <w:tab w:val="left" w:pos="2700" w:leader="none"/>
          <w:tab w:val="left" w:pos="4140" w:leader="none"/>
          <w:tab w:val="left" w:pos="6480" w:leader="none"/>
        </w:tabs>
        <w:ind w:hanging="4860" w:start="4140" w:end="-630"/>
        <w:jc w:val="start"/>
        <w:rPr>
          <w:b/>
          <w:sz w:val="22"/>
          <w:u w:val="single"/>
        </w:rPr>
      </w:pPr>
      <w:r>
        <w:rPr>
          <w:b/>
          <w:sz w:val="22"/>
          <w:u w:val="single"/>
        </w:rPr>
      </w:r>
    </w:p>
    <w:p>
      <w:pPr>
        <w:pStyle w:val="BodyTextIndent"/>
        <w:tabs>
          <w:tab w:val="clear" w:pos="90"/>
          <w:tab w:val="left" w:pos="0" w:leader="none"/>
          <w:tab w:val="left" w:pos="810" w:leader="none"/>
          <w:tab w:val="left" w:pos="2160" w:leader="none"/>
          <w:tab w:val="left" w:pos="2700" w:leader="none"/>
          <w:tab w:val="left" w:pos="6480" w:leader="none"/>
        </w:tabs>
        <w:ind w:hanging="3420" w:start="2700" w:end="-630"/>
        <w:rPr>
          <w:sz w:val="22"/>
        </w:rPr>
      </w:pPr>
      <w:r>
        <w:rPr>
          <w:sz w:val="22"/>
        </w:rPr>
        <w:tab/>
        <w:t>Exercise Periods:</w:t>
        <w:tab/>
        <w:tab/>
        <w:t xml:space="preserve">Prior to 9:00 a.m. CPT on the Business Day prior to the Calculation Period (assuming that ENA has exercised its daily call), or another specified time as mutually agreed upon by the parties, subject to the following conditions:  </w:t>
      </w:r>
    </w:p>
    <w:p>
      <w:pPr>
        <w:pStyle w:val="BodyTextIndent"/>
        <w:tabs>
          <w:tab w:val="clear" w:pos="90"/>
          <w:tab w:val="left" w:pos="0" w:leader="none"/>
          <w:tab w:val="left" w:pos="81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3420" w:leader="none"/>
          <w:tab w:val="left" w:pos="6480" w:leader="none"/>
        </w:tabs>
        <w:ind w:hanging="3420" w:start="2700" w:end="-630"/>
        <w:rPr>
          <w:sz w:val="22"/>
        </w:rPr>
      </w:pPr>
      <w:r>
        <w:rPr>
          <w:sz w:val="22"/>
        </w:rPr>
        <w:tab/>
        <w:tab/>
        <w:tab/>
        <w:tab/>
        <w:t>[(i)</w:t>
        <w:tab/>
        <w:t>Electricity must be scheduled by ENA prior to 11:00 a.m. CPT]</w:t>
      </w:r>
    </w:p>
    <w:p>
      <w:pPr>
        <w:pStyle w:val="BodyTextIndent"/>
        <w:tabs>
          <w:tab w:val="clear" w:pos="90"/>
          <w:tab w:val="left" w:pos="0" w:leader="none"/>
          <w:tab w:val="left" w:pos="810" w:leader="none"/>
          <w:tab w:val="left" w:pos="2160" w:leader="none"/>
          <w:tab w:val="left" w:pos="2880" w:leader="none"/>
          <w:tab w:val="left" w:pos="4140" w:leader="none"/>
          <w:tab w:val="left" w:pos="4860" w:leader="none"/>
          <w:tab w:val="left" w:pos="6480" w:leader="none"/>
        </w:tabs>
        <w:ind w:hanging="4320" w:start="3600" w:end="-630"/>
        <w:rPr>
          <w:sz w:val="22"/>
        </w:rPr>
      </w:pPr>
      <w:r>
        <w:rPr>
          <w:sz w:val="22"/>
        </w:rPr>
      </w:r>
    </w:p>
    <w:p>
      <w:pPr>
        <w:pStyle w:val="BodyTextIndent"/>
        <w:tabs>
          <w:tab w:val="clear" w:pos="90"/>
          <w:tab w:val="clear" w:pos="6480"/>
          <w:tab w:val="left" w:pos="0" w:leader="none"/>
          <w:tab w:val="left" w:pos="810" w:leader="none"/>
          <w:tab w:val="left" w:pos="2160" w:leader="none"/>
          <w:tab w:val="left" w:pos="2700" w:leader="none"/>
        </w:tabs>
        <w:ind w:hanging="4140" w:start="3420" w:end="-630"/>
        <w:rPr>
          <w:sz w:val="22"/>
        </w:rPr>
      </w:pPr>
      <w:r>
        <w:rPr>
          <w:sz w:val="22"/>
        </w:rPr>
        <w:tab/>
        <w:tab/>
        <w:tab/>
        <w:tab/>
        <w:t>(ii)</w:t>
        <w:tab/>
        <w:t xml:space="preserve">Electricity may only be scheduled in multiples of 50 MW of energy per hour and only for an entire 16 hour period (HE0700 to HE2200) </w:t>
      </w:r>
    </w:p>
    <w:p>
      <w:pPr>
        <w:pStyle w:val="BodyTextIndent"/>
        <w:tabs>
          <w:tab w:val="clear" w:pos="90"/>
          <w:tab w:val="left" w:pos="0" w:leader="none"/>
          <w:tab w:val="left" w:pos="810" w:leader="none"/>
          <w:tab w:val="left" w:pos="2160" w:leader="none"/>
          <w:tab w:val="left" w:pos="2700" w:leader="none"/>
          <w:tab w:val="left" w:pos="4140" w:leader="none"/>
          <w:tab w:val="left" w:pos="4860" w:leader="none"/>
          <w:tab w:val="left" w:pos="6480" w:leader="none"/>
        </w:tabs>
        <w:ind w:hanging="4140" w:start="3420" w:end="-630"/>
        <w:rPr>
          <w:sz w:val="22"/>
        </w:rPr>
      </w:pPr>
      <w:r>
        <w:rPr>
          <w:sz w:val="22"/>
        </w:rPr>
      </w:r>
    </w:p>
    <w:p>
      <w:pPr>
        <w:pStyle w:val="BodyTextIndent"/>
        <w:tabs>
          <w:tab w:val="clear" w:pos="90"/>
          <w:tab w:val="left" w:pos="0" w:leader="none"/>
          <w:tab w:val="left" w:pos="810" w:leader="none"/>
          <w:tab w:val="left" w:pos="2160" w:leader="none"/>
          <w:tab w:val="left" w:pos="2700" w:leader="none"/>
          <w:tab w:val="left" w:pos="3960" w:leader="none"/>
          <w:tab w:val="left" w:pos="6480" w:leader="none"/>
        </w:tabs>
        <w:ind w:hanging="4140" w:start="3420" w:end="-630"/>
        <w:rPr>
          <w:sz w:val="22"/>
        </w:rPr>
      </w:pPr>
      <w:r>
        <w:rPr>
          <w:sz w:val="22"/>
        </w:rPr>
        <w:tab/>
        <w:tab/>
        <w:tab/>
        <w:tab/>
        <w:t>(iii)</w:t>
        <w:tab/>
        <w:t xml:space="preserve">Counterparty may exercise up to a maximum hourly quantity (the “Maximum Hourly Quantity”) at any of the “Into Comed”, “Into Cinergy” or “Into TVA” delivery point locations (each an “Energy Index Point”), as follows:  </w:t>
      </w:r>
    </w:p>
    <w:p>
      <w:pPr>
        <w:pStyle w:val="BodyTextIndent"/>
        <w:tabs>
          <w:tab w:val="left" w:pos="90" w:leader="none"/>
          <w:tab w:val="left" w:pos="810" w:leader="none"/>
          <w:tab w:val="left" w:pos="2160" w:leader="none"/>
          <w:tab w:val="left" w:pos="4140" w:leader="none"/>
          <w:tab w:val="left" w:pos="6480" w:leader="none"/>
        </w:tabs>
        <w:ind w:hanging="4860" w:start="4140" w:end="-630"/>
        <w:rPr>
          <w:sz w:val="22"/>
        </w:rPr>
      </w:pPr>
      <w:r>
        <w:rPr>
          <w:sz w:val="22"/>
        </w:rPr>
      </w:r>
    </w:p>
    <w:tbl>
      <w:tblPr>
        <w:tblW w:w="5850" w:type="dxa"/>
        <w:jc w:val="start"/>
        <w:tblInd w:w="3528" w:type="dxa"/>
        <w:tblLayout w:type="fixed"/>
        <w:tblCellMar>
          <w:top w:w="0" w:type="dxa"/>
          <w:start w:w="108" w:type="dxa"/>
          <w:bottom w:w="0" w:type="dxa"/>
          <w:end w:w="108" w:type="dxa"/>
        </w:tblCellMar>
      </w:tblPr>
      <w:tblGrid>
        <w:gridCol w:w="2520"/>
        <w:gridCol w:w="3330"/>
      </w:tblGrid>
      <w:tr>
        <w:trPr/>
        <w:tc>
          <w:tcPr>
            <w:tcW w:w="2520" w:type="dxa"/>
            <w:tcBorders/>
          </w:tcPr>
          <w:p>
            <w:pPr>
              <w:pStyle w:val="BodyTextIndent"/>
              <w:tabs>
                <w:tab w:val="left" w:pos="90" w:leader="none"/>
                <w:tab w:val="left" w:pos="810" w:leader="none"/>
                <w:tab w:val="left" w:pos="2160" w:leader="none"/>
                <w:tab w:val="left" w:pos="4140" w:leader="none"/>
                <w:tab w:val="left" w:pos="6480" w:leader="none"/>
              </w:tabs>
              <w:ind w:start="720" w:end="0"/>
              <w:jc w:val="start"/>
              <w:rPr>
                <w:sz w:val="22"/>
                <w:u w:val="single"/>
              </w:rPr>
            </w:pPr>
            <w:r>
              <w:rPr>
                <w:sz w:val="22"/>
                <w:u w:val="single"/>
              </w:rPr>
              <w:t>Location</w:t>
            </w:r>
          </w:p>
        </w:tc>
        <w:tc>
          <w:tcPr>
            <w:tcW w:w="3330" w:type="dxa"/>
            <w:tcBorders/>
          </w:tcPr>
          <w:p>
            <w:pPr>
              <w:pStyle w:val="BodyTextIndent"/>
              <w:tabs>
                <w:tab w:val="left" w:pos="90" w:leader="none"/>
                <w:tab w:val="left" w:pos="810" w:leader="none"/>
                <w:tab w:val="left" w:pos="2160" w:leader="none"/>
                <w:tab w:val="left" w:pos="4140" w:leader="none"/>
                <w:tab w:val="left" w:pos="6480" w:leader="none"/>
              </w:tabs>
              <w:ind w:start="0" w:end="-630"/>
              <w:jc w:val="center"/>
              <w:rPr>
                <w:sz w:val="22"/>
                <w:u w:val="single"/>
              </w:rPr>
            </w:pPr>
            <w:r>
              <w:rPr>
                <w:sz w:val="22"/>
                <w:u w:val="single"/>
              </w:rPr>
              <w:t>Maximum Hourly Quantity</w:t>
            </w:r>
          </w:p>
        </w:tc>
      </w:tr>
      <w:tr>
        <w:trPr/>
        <w:tc>
          <w:tcPr>
            <w:tcW w:w="2520" w:type="dxa"/>
            <w:tcBorders/>
          </w:tcPr>
          <w:p>
            <w:pPr>
              <w:pStyle w:val="BodyTextIndent"/>
              <w:tabs>
                <w:tab w:val="left" w:pos="90" w:leader="none"/>
                <w:tab w:val="left" w:pos="810" w:leader="none"/>
                <w:tab w:val="left" w:pos="2160" w:leader="none"/>
                <w:tab w:val="left" w:pos="4140" w:leader="none"/>
                <w:tab w:val="left" w:pos="6480" w:leader="none"/>
              </w:tabs>
              <w:ind w:start="576" w:end="-634"/>
              <w:jc w:val="start"/>
              <w:rPr>
                <w:sz w:val="22"/>
              </w:rPr>
            </w:pPr>
            <w:r>
              <w:rPr>
                <w:sz w:val="22"/>
              </w:rPr>
              <w:t>“</w:t>
            </w:r>
            <w:r>
              <w:rPr>
                <w:sz w:val="22"/>
              </w:rPr>
              <w:t>Into Comed”</w:t>
            </w:r>
          </w:p>
        </w:tc>
        <w:tc>
          <w:tcPr>
            <w:tcW w:w="3330" w:type="dxa"/>
            <w:tcBorders/>
          </w:tcPr>
          <w:p>
            <w:pPr>
              <w:pStyle w:val="BodyTextIndent"/>
              <w:tabs>
                <w:tab w:val="left" w:pos="90" w:leader="none"/>
                <w:tab w:val="left" w:pos="810" w:leader="none"/>
                <w:tab w:val="left" w:pos="2160" w:leader="none"/>
                <w:tab w:val="left" w:pos="4140" w:leader="none"/>
                <w:tab w:val="left" w:pos="6480" w:leader="none"/>
              </w:tabs>
              <w:ind w:start="0" w:end="-630"/>
              <w:jc w:val="center"/>
              <w:rPr>
                <w:sz w:val="22"/>
              </w:rPr>
            </w:pPr>
            <w:r>
              <w:rPr>
                <w:sz w:val="22"/>
              </w:rPr>
              <w:t>Up to 600 MW</w:t>
            </w:r>
          </w:p>
        </w:tc>
      </w:tr>
      <w:tr>
        <w:trPr/>
        <w:tc>
          <w:tcPr>
            <w:tcW w:w="2520" w:type="dxa"/>
            <w:tcBorders/>
          </w:tcPr>
          <w:p>
            <w:pPr>
              <w:pStyle w:val="BodyTextIndent"/>
              <w:tabs>
                <w:tab w:val="left" w:pos="90" w:leader="none"/>
                <w:tab w:val="left" w:pos="810" w:leader="none"/>
                <w:tab w:val="left" w:pos="2160" w:leader="none"/>
                <w:tab w:val="left" w:pos="4140" w:leader="none"/>
                <w:tab w:val="left" w:pos="6480" w:leader="none"/>
              </w:tabs>
              <w:ind w:start="576" w:end="-634"/>
              <w:jc w:val="start"/>
              <w:rPr>
                <w:sz w:val="22"/>
              </w:rPr>
            </w:pPr>
            <w:r>
              <w:rPr>
                <w:sz w:val="22"/>
              </w:rPr>
              <w:t>“</w:t>
            </w:r>
            <w:r>
              <w:rPr>
                <w:sz w:val="22"/>
              </w:rPr>
              <w:t>Into Cinergy”</w:t>
            </w:r>
          </w:p>
        </w:tc>
        <w:tc>
          <w:tcPr>
            <w:tcW w:w="3330" w:type="dxa"/>
            <w:tcBorders/>
          </w:tcPr>
          <w:p>
            <w:pPr>
              <w:pStyle w:val="BodyTextIndent"/>
              <w:tabs>
                <w:tab w:val="left" w:pos="90" w:leader="none"/>
                <w:tab w:val="left" w:pos="810" w:leader="none"/>
                <w:tab w:val="left" w:pos="2160" w:leader="none"/>
                <w:tab w:val="left" w:pos="4140" w:leader="none"/>
                <w:tab w:val="left" w:pos="6480" w:leader="none"/>
              </w:tabs>
              <w:ind w:start="0" w:end="-630"/>
              <w:jc w:val="center"/>
              <w:rPr>
                <w:sz w:val="22"/>
              </w:rPr>
            </w:pPr>
            <w:r>
              <w:rPr>
                <w:sz w:val="22"/>
              </w:rPr>
              <w:t>Up to 450 MW</w:t>
            </w:r>
          </w:p>
        </w:tc>
      </w:tr>
      <w:tr>
        <w:trPr/>
        <w:tc>
          <w:tcPr>
            <w:tcW w:w="2520" w:type="dxa"/>
            <w:tcBorders/>
          </w:tcPr>
          <w:p>
            <w:pPr>
              <w:pStyle w:val="BodyTextIndent"/>
              <w:tabs>
                <w:tab w:val="left" w:pos="90" w:leader="none"/>
                <w:tab w:val="left" w:pos="810" w:leader="none"/>
                <w:tab w:val="left" w:pos="2160" w:leader="none"/>
                <w:tab w:val="left" w:pos="4140" w:leader="none"/>
                <w:tab w:val="left" w:pos="6480" w:leader="none"/>
              </w:tabs>
              <w:ind w:start="576" w:end="-634"/>
              <w:jc w:val="start"/>
              <w:rPr>
                <w:sz w:val="22"/>
              </w:rPr>
            </w:pPr>
            <w:r>
              <w:rPr>
                <w:sz w:val="22"/>
              </w:rPr>
              <w:t>“</w:t>
            </w:r>
            <w:r>
              <w:rPr>
                <w:sz w:val="22"/>
              </w:rPr>
              <w:t>Into TVA”</w:t>
            </w:r>
          </w:p>
        </w:tc>
        <w:tc>
          <w:tcPr>
            <w:tcW w:w="3330" w:type="dxa"/>
            <w:tcBorders/>
          </w:tcPr>
          <w:p>
            <w:pPr>
              <w:pStyle w:val="BodyTextIndent"/>
              <w:tabs>
                <w:tab w:val="left" w:pos="90" w:leader="none"/>
                <w:tab w:val="left" w:pos="810" w:leader="none"/>
                <w:tab w:val="left" w:pos="2160" w:leader="none"/>
                <w:tab w:val="left" w:pos="4140" w:leader="none"/>
                <w:tab w:val="left" w:pos="6480" w:leader="none"/>
              </w:tabs>
              <w:ind w:start="0" w:end="-630"/>
              <w:jc w:val="center"/>
              <w:rPr>
                <w:sz w:val="22"/>
              </w:rPr>
            </w:pPr>
            <w:r>
              <w:rPr>
                <w:sz w:val="22"/>
              </w:rPr>
              <w:t>Up to 500 MW</w:t>
            </w:r>
          </w:p>
        </w:tc>
      </w:tr>
    </w:tbl>
    <w:p>
      <w:pPr>
        <w:pStyle w:val="BodyTextIndent"/>
        <w:tabs>
          <w:tab w:val="left" w:pos="90" w:leader="none"/>
          <w:tab w:val="left" w:pos="810" w:leader="none"/>
          <w:tab w:val="left" w:pos="2160" w:leader="none"/>
          <w:tab w:val="left" w:pos="4140" w:leader="none"/>
          <w:tab w:val="left" w:pos="6480" w:leader="none"/>
        </w:tabs>
        <w:ind w:hanging="4860" w:start="4140" w:end="-630"/>
        <w:rPr>
          <w:sz w:val="22"/>
        </w:rPr>
      </w:pPr>
      <w:r>
        <w:rPr>
          <w:sz w:val="22"/>
        </w:rPr>
      </w:r>
    </w:p>
    <w:p>
      <w:pPr>
        <w:pStyle w:val="BodyTextIndent"/>
        <w:tabs>
          <w:tab w:val="left" w:pos="90" w:leader="none"/>
          <w:tab w:val="left" w:pos="810" w:leader="none"/>
          <w:tab w:val="left" w:pos="2160" w:leader="none"/>
          <w:tab w:val="left" w:pos="3420" w:leader="none"/>
          <w:tab w:val="left" w:pos="6480" w:leader="none"/>
        </w:tabs>
        <w:ind w:hanging="3600" w:start="3420" w:end="-630"/>
        <w:rPr>
          <w:sz w:val="22"/>
        </w:rPr>
      </w:pPr>
      <w:r>
        <w:rPr>
          <w:sz w:val="22"/>
        </w:rPr>
        <w:tab/>
        <w:tab/>
        <w:tab/>
        <w:tab/>
        <w:t>which total energy usage exercised shall be the “Energy Hourly Quantity.”</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vertAlign w:val="superscript"/>
        </w:rPr>
      </w:pPr>
      <w:r>
        <w:rPr>
          <w:sz w:val="22"/>
          <w:vertAlign w:val="superscript"/>
        </w:rPr>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pPr>
      <w:r>
        <w:rPr>
          <w:sz w:val="22"/>
          <w:vertAlign w:val="superscript"/>
        </w:rPr>
        <w:tab/>
      </w:r>
      <w:r>
        <w:rPr>
          <w:sz w:val="22"/>
        </w:rPr>
        <w:t>Expiration Date:</w:t>
        <w:tab/>
        <w:tab/>
        <w:t>[June 30, 2004]</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Automatic Exercise:</w:t>
        <w:tab/>
        <w:tab/>
        <w:t>Inapplicable</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Written Confirmation</w:t>
      </w:r>
    </w:p>
    <w:p>
      <w:pPr>
        <w:pStyle w:val="BodyTextIndent"/>
        <w:tabs>
          <w:tab w:val="clear" w:pos="90"/>
          <w:tab w:val="left" w:pos="0" w:leader="none"/>
          <w:tab w:val="left" w:pos="810" w:leader="none"/>
          <w:tab w:val="left" w:pos="2160" w:leader="none"/>
          <w:tab w:val="left" w:pos="2700" w:leader="none"/>
          <w:tab w:val="left" w:pos="6480" w:leader="none"/>
        </w:tabs>
        <w:ind w:hanging="4860" w:start="4140" w:end="-630"/>
        <w:jc w:val="start"/>
        <w:rPr>
          <w:sz w:val="22"/>
        </w:rPr>
      </w:pPr>
      <w:r>
        <w:rPr>
          <w:sz w:val="22"/>
        </w:rPr>
        <w:tab/>
        <w:t>of Notice of Exercise:</w:t>
        <w:tab/>
        <w:tab/>
        <w:t>[Inapplicable]</w:t>
      </w:r>
    </w:p>
    <w:p>
      <w:pPr>
        <w:pStyle w:val="BodyTextIndent"/>
        <w:tabs>
          <w:tab w:val="left" w:pos="90" w:leader="none"/>
          <w:tab w:val="left" w:pos="810" w:leader="none"/>
          <w:tab w:val="left" w:pos="2160" w:leader="none"/>
          <w:tab w:val="left" w:pos="4140" w:leader="none"/>
          <w:tab w:val="left" w:pos="6480" w:leader="none"/>
        </w:tabs>
        <w:ind w:hanging="4860" w:start="4140" w:end="-630"/>
        <w:jc w:val="start"/>
        <w:rPr>
          <w:sz w:val="22"/>
        </w:rPr>
      </w:pPr>
      <w:r>
        <w:rPr>
          <w:sz w:val="22"/>
        </w:rPr>
      </w:r>
    </w:p>
    <w:p>
      <w:pPr>
        <w:pStyle w:val="BodyTextIndent"/>
        <w:tabs>
          <w:tab w:val="clear" w:pos="90"/>
          <w:tab w:val="left" w:pos="0" w:leader="none"/>
          <w:tab w:val="left" w:pos="810" w:leader="none"/>
          <w:tab w:val="left" w:pos="2160" w:leader="none"/>
          <w:tab w:val="left" w:pos="4140" w:leader="none"/>
          <w:tab w:val="left" w:pos="6480" w:leader="none"/>
        </w:tabs>
        <w:ind w:start="0" w:end="-630"/>
        <w:jc w:val="start"/>
        <w:rPr>
          <w:b/>
          <w:sz w:val="22"/>
        </w:rPr>
      </w:pPr>
      <w:r>
        <w:rPr>
          <w:b/>
          <w:sz w:val="22"/>
        </w:rPr>
        <w:t>The terms of the Underlying Transaction to which the Option relates are as follows:</w:t>
      </w:r>
    </w:p>
    <w:p>
      <w:pPr>
        <w:pStyle w:val="BodyTextIndent"/>
        <w:tabs>
          <w:tab w:val="left" w:pos="90" w:leader="none"/>
          <w:tab w:val="left" w:pos="810" w:leader="none"/>
          <w:tab w:val="left" w:pos="2160" w:leader="none"/>
          <w:tab w:val="left" w:pos="4140" w:leader="none"/>
          <w:tab w:val="left" w:pos="6480" w:leader="none"/>
        </w:tabs>
        <w:ind w:start="0" w:end="-630"/>
        <w:jc w:val="start"/>
        <w:rPr>
          <w:b/>
          <w:sz w:val="22"/>
        </w:rPr>
      </w:pPr>
      <w:r>
        <w:rPr>
          <w:b/>
          <w:sz w:val="22"/>
        </w:rPr>
      </w:r>
    </w:p>
    <w:p>
      <w:pPr>
        <w:pStyle w:val="BodyTextIndent"/>
        <w:tabs>
          <w:tab w:val="left" w:pos="90" w:leader="none"/>
          <w:tab w:val="left" w:pos="810" w:leader="none"/>
          <w:tab w:val="left" w:pos="2160" w:leader="none"/>
          <w:tab w:val="left" w:pos="2700" w:leader="none"/>
          <w:tab w:val="left" w:pos="6480" w:leader="none"/>
        </w:tabs>
        <w:ind w:start="0" w:end="-630"/>
        <w:jc w:val="start"/>
        <w:rPr>
          <w:sz w:val="22"/>
        </w:rPr>
      </w:pPr>
      <w:r>
        <w:rPr>
          <w:sz w:val="22"/>
        </w:rPr>
        <w:t>Total Notional Quantity:</w:t>
        <w:tab/>
        <w:t>__________ MWh</w:t>
      </w:r>
    </w:p>
    <w:p>
      <w:pPr>
        <w:pStyle w:val="BodyTextIndent"/>
        <w:tabs>
          <w:tab w:val="left" w:pos="90" w:leader="none"/>
          <w:tab w:val="left" w:pos="810" w:leader="none"/>
          <w:tab w:val="left" w:pos="2160" w:leader="none"/>
          <w:tab w:val="left" w:pos="2700" w:leader="none"/>
          <w:tab w:val="left" w:pos="6480" w:leader="none"/>
        </w:tabs>
        <w:ind w:start="0" w:end="-630"/>
        <w:jc w:val="start"/>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 xml:space="preserve">Notional Quantity </w:t>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per Calculation Period:</w:t>
        <w:tab/>
        <w:t xml:space="preserve"> </w:t>
        <w:tab/>
        <w:t>the Energy Hourly Quantity defined below</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Commodity:</w:t>
        <w:tab/>
        <w:tab/>
        <w:t>Electricity</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Commodity Unit:</w:t>
        <w:tab/>
        <w:tab/>
        <w:t>MWh (Megawatt hours)</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720" w:start="0" w:end="-630"/>
        <w:rPr>
          <w:sz w:val="22"/>
        </w:rPr>
      </w:pPr>
      <w:r>
        <w:rPr>
          <w:sz w:val="22"/>
        </w:rPr>
        <w:tab/>
        <w:t>Effective Date:</w:t>
        <w:tab/>
        <w:tab/>
        <w:t>[September 1, 2000]</w:t>
      </w:r>
    </w:p>
    <w:p>
      <w:pPr>
        <w:pStyle w:val="BodyTextIndent"/>
        <w:tabs>
          <w:tab w:val="left" w:pos="90" w:leader="none"/>
          <w:tab w:val="left" w:pos="2160" w:leader="none"/>
          <w:tab w:val="left" w:pos="2700" w:leader="none"/>
          <w:tab w:val="left" w:pos="6480" w:leader="none"/>
        </w:tabs>
        <w:ind w:hanging="720" w:start="0" w:end="-630"/>
        <w:rPr>
          <w:sz w:val="22"/>
        </w:rPr>
      </w:pPr>
      <w:r>
        <w:rPr>
          <w:sz w:val="22"/>
        </w:rPr>
      </w:r>
    </w:p>
    <w:p>
      <w:pPr>
        <w:pStyle w:val="BodyTextIndent"/>
        <w:tabs>
          <w:tab w:val="left" w:pos="90" w:leader="none"/>
          <w:tab w:val="left" w:pos="2160" w:leader="none"/>
          <w:tab w:val="left" w:pos="2700" w:leader="none"/>
          <w:tab w:val="left" w:pos="6480" w:leader="none"/>
        </w:tabs>
        <w:ind w:hanging="900" w:start="0" w:end="-630"/>
        <w:rPr>
          <w:sz w:val="22"/>
        </w:rPr>
      </w:pPr>
      <w:r>
        <w:rPr>
          <w:sz w:val="22"/>
        </w:rPr>
        <w:tab/>
        <w:t>Termination Date:</w:t>
        <w:tab/>
        <w:tab/>
        <w:t>[June 30, 2004]</w:t>
      </w:r>
    </w:p>
    <w:p>
      <w:pPr>
        <w:pStyle w:val="BodyTextIndent"/>
        <w:tabs>
          <w:tab w:val="left" w:pos="90" w:leader="none"/>
          <w:tab w:val="left" w:pos="2160" w:leader="none"/>
          <w:tab w:val="left" w:pos="2880" w:leader="none"/>
          <w:tab w:val="left" w:pos="6480" w:leader="none"/>
        </w:tabs>
        <w:ind w:hanging="900" w:start="0" w:end="-630"/>
        <w:rPr>
          <w:sz w:val="22"/>
        </w:rPr>
      </w:pPr>
      <w:r>
        <w:rPr>
          <w:sz w:val="22"/>
        </w:rPr>
      </w:r>
    </w:p>
    <w:p>
      <w:pPr>
        <w:pStyle w:val="BodyTextIndent"/>
        <w:tabs>
          <w:tab w:val="clear" w:pos="90"/>
          <w:tab w:val="left" w:pos="0" w:leader="none"/>
          <w:tab w:val="left" w:pos="2160" w:leader="none"/>
          <w:tab w:val="left" w:pos="2700" w:leader="none"/>
          <w:tab w:val="left" w:pos="6480" w:leader="none"/>
        </w:tabs>
        <w:ind w:hanging="3600" w:start="2700" w:end="-630"/>
        <w:rPr>
          <w:sz w:val="22"/>
        </w:rPr>
      </w:pPr>
      <w:r>
        <w:rPr>
          <w:sz w:val="22"/>
        </w:rPr>
        <w:tab/>
        <w:t>Calculation Periods:</w:t>
        <w:tab/>
        <w:tab/>
        <w:t xml:space="preserve">Each calendar day commencing with </w:t>
      </w:r>
      <w:r>
        <w:rPr>
          <w:color w:val="000000"/>
          <w:sz w:val="22"/>
        </w:rPr>
        <w:t>[September 1, 2000] and ending on [June 30, 2004] (excluding NERC holidays) for which Buyer has exercised its daily call option as set forth above.</w:t>
      </w:r>
    </w:p>
    <w:p>
      <w:pPr>
        <w:pStyle w:val="BodyTextIndent"/>
        <w:tabs>
          <w:tab w:val="clear" w:pos="90"/>
          <w:tab w:val="left" w:pos="0" w:leader="none"/>
          <w:tab w:val="left" w:pos="2160" w:leader="none"/>
          <w:tab w:val="left" w:pos="4140" w:leader="none"/>
          <w:tab w:val="left" w:pos="6480" w:leader="none"/>
        </w:tabs>
        <w:ind w:hanging="4860" w:start="4140" w:end="-630"/>
        <w:rPr>
          <w:sz w:val="22"/>
        </w:rPr>
      </w:pPr>
      <w:r>
        <w:rPr>
          <w:sz w:val="22"/>
        </w:rPr>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t>Fixed Amount Details:</w:t>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4320" w:leader="none"/>
          <w:tab w:val="left" w:pos="6480" w:leader="none"/>
        </w:tabs>
        <w:rPr/>
      </w:pPr>
      <w:r>
        <w:rPr>
          <w:b/>
          <w:sz w:val="22"/>
        </w:rPr>
        <w:tab/>
      </w:r>
      <w:r>
        <w:rPr>
          <w:sz w:val="22"/>
        </w:rPr>
        <w:t>Fixed Price Payer:</w:t>
        <w:tab/>
        <w:tab/>
        <w:t>Counterparty</w:t>
      </w:r>
    </w:p>
    <w:p>
      <w:pPr>
        <w:pStyle w:val="BodyTextIndent"/>
        <w:tabs>
          <w:tab w:val="clear" w:pos="90"/>
          <w:tab w:val="left" w:pos="0" w:leader="none"/>
          <w:tab w:val="left" w:pos="2160" w:leader="none"/>
          <w:tab w:val="left" w:pos="4140" w:leader="none"/>
          <w:tab w:val="left" w:pos="4320" w:leader="none"/>
          <w:tab w:val="left" w:pos="6480" w:leader="none"/>
        </w:tabs>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ab/>
        <w:t>Fixed Price:</w:t>
        <w:tab/>
        <w:tab/>
        <w:t>The Fixed Price (in U.S.$) for each Calculation Period shall be calculated pursuant to the following formula:</w:t>
      </w:r>
    </w:p>
    <w:p>
      <w:pPr>
        <w:pStyle w:val="BodyTextIndent"/>
        <w:tabs>
          <w:tab w:val="clear" w:pos="90"/>
          <w:tab w:val="left" w:pos="0" w:leader="none"/>
          <w:tab w:val="left" w:pos="2160" w:leader="none"/>
          <w:tab w:val="left" w:pos="3600" w:leader="none"/>
          <w:tab w:val="left" w:pos="4320" w:leader="none"/>
          <w:tab w:val="left" w:pos="6480" w:leader="none"/>
        </w:tabs>
        <w:ind w:hanging="3780" w:start="3600" w:end="0"/>
        <w:rPr>
          <w:sz w:val="22"/>
        </w:rPr>
      </w:pPr>
      <w:r>
        <w:rPr>
          <w:sz w:val="22"/>
        </w:rPr>
      </w:r>
    </w:p>
    <w:p>
      <w:pPr>
        <w:pStyle w:val="BodyTextIndent"/>
        <w:tabs>
          <w:tab w:val="clear" w:pos="2160"/>
          <w:tab w:val="left" w:pos="90" w:leader="none"/>
          <w:tab w:val="left" w:pos="2700" w:leader="none"/>
          <w:tab w:val="left" w:pos="6480" w:leader="none"/>
        </w:tabs>
        <w:ind w:hanging="2880" w:start="2700" w:end="0"/>
        <w:jc w:val="start"/>
        <w:rPr>
          <w:sz w:val="22"/>
        </w:rPr>
      </w:pPr>
      <w:r>
        <w:rPr>
          <w:sz w:val="22"/>
        </w:rPr>
        <w:tab/>
        <w:tab/>
        <w:t>[(Associated Gas Index x 11.5 MMBtu/MWh) + U.S.$2.50/MWh]</w:t>
      </w:r>
    </w:p>
    <w:p>
      <w:pPr>
        <w:pStyle w:val="BodyTextIndent"/>
        <w:tabs>
          <w:tab w:val="left" w:pos="90" w:leader="none"/>
          <w:tab w:val="left" w:pos="2160" w:leader="none"/>
          <w:tab w:val="left" w:pos="3600" w:leader="none"/>
          <w:tab w:val="left" w:pos="648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940" w:leader="none"/>
          <w:tab w:val="left" w:pos="6840" w:leader="none"/>
        </w:tabs>
        <w:ind w:hanging="2880" w:start="2700" w:end="0"/>
        <w:rPr>
          <w:sz w:val="22"/>
        </w:rPr>
      </w:pPr>
      <w:r>
        <w:rPr>
          <w:sz w:val="22"/>
        </w:rPr>
        <w:tab/>
        <w:tab/>
        <w:tab/>
        <w:t>where “Associated Gas Index” is defined for each Energy Index Point as:</w:t>
      </w:r>
    </w:p>
    <w:p>
      <w:pPr>
        <w:pStyle w:val="BodyTextIndent"/>
        <w:tabs>
          <w:tab w:val="clear" w:pos="6480"/>
          <w:tab w:val="left" w:pos="90" w:leader="none"/>
          <w:tab w:val="left" w:pos="2160" w:leader="none"/>
          <w:tab w:val="left" w:pos="3600" w:leader="none"/>
          <w:tab w:val="left" w:pos="5940" w:leader="none"/>
          <w:tab w:val="left" w:pos="684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3420" w:leader="none"/>
          <w:tab w:val="left" w:pos="5040" w:leader="none"/>
          <w:tab w:val="left" w:pos="6120" w:leader="none"/>
          <w:tab w:val="left" w:pos="7380" w:leader="none"/>
          <w:tab w:val="left" w:pos="7740" w:leader="none"/>
        </w:tabs>
        <w:ind w:hanging="2880" w:start="2700" w:end="-90"/>
        <w:jc w:val="start"/>
        <w:rPr>
          <w:sz w:val="22"/>
        </w:rPr>
      </w:pPr>
      <w:r>
        <w:rPr>
          <w:sz w:val="22"/>
        </w:rPr>
        <w:tab/>
        <w:tab/>
        <w:tab/>
        <w:t>(i)</w:t>
        <w:tab/>
        <w:t>“Into Comed”:</w:t>
        <w:tab/>
        <w:t>Summer,</w:t>
        <w:tab/>
        <w:t>ANR SE</w:t>
        <w:tab/>
        <w:t>+</w:t>
        <w:tab/>
        <w:t>US$0.20</w:t>
      </w:r>
    </w:p>
    <w:p>
      <w:pPr>
        <w:pStyle w:val="BodyTextIndent"/>
        <w:tabs>
          <w:tab w:val="clear" w:pos="6480"/>
          <w:tab w:val="left" w:pos="90" w:leader="none"/>
          <w:tab w:val="left" w:pos="2160" w:leader="none"/>
          <w:tab w:val="left" w:pos="2700" w:leader="none"/>
          <w:tab w:val="left" w:pos="3420" w:leader="none"/>
          <w:tab w:val="left" w:pos="5040" w:leader="none"/>
          <w:tab w:val="left" w:pos="6120" w:leader="none"/>
          <w:tab w:val="left" w:pos="7380" w:leader="none"/>
          <w:tab w:val="left" w:pos="7740" w:leader="none"/>
        </w:tabs>
        <w:ind w:hanging="2880" w:start="2700" w:end="-90"/>
        <w:jc w:val="start"/>
        <w:rPr>
          <w:sz w:val="22"/>
        </w:rPr>
      </w:pPr>
      <w:r>
        <w:rPr>
          <w:sz w:val="22"/>
        </w:rPr>
        <w:tab/>
        <w:tab/>
        <w:tab/>
        <w:tab/>
        <w:tab/>
        <w:t>Winter,</w:t>
        <w:tab/>
        <w:t>ANR SE</w:t>
        <w:tab/>
        <w:t>+</w:t>
        <w:tab/>
        <w:t>US$0.53</w:t>
      </w:r>
    </w:p>
    <w:p>
      <w:pPr>
        <w:pStyle w:val="BodyTextIndent"/>
        <w:tabs>
          <w:tab w:val="clear" w:pos="6480"/>
          <w:tab w:val="left" w:pos="90" w:leader="none"/>
          <w:tab w:val="left" w:pos="2160" w:leader="none"/>
          <w:tab w:val="left" w:pos="2700" w:leader="none"/>
          <w:tab w:val="left" w:pos="3420" w:leader="none"/>
          <w:tab w:val="left" w:pos="5040" w:leader="none"/>
          <w:tab w:val="left" w:pos="6120" w:leader="none"/>
          <w:tab w:val="left" w:pos="7380" w:leader="none"/>
          <w:tab w:val="left" w:pos="7740" w:leader="none"/>
        </w:tabs>
        <w:ind w:hanging="2880" w:start="2700" w:end="-90"/>
        <w:jc w:val="start"/>
        <w:rPr>
          <w:sz w:val="22"/>
        </w:rPr>
      </w:pPr>
      <w:r>
        <w:rPr>
          <w:sz w:val="22"/>
        </w:rPr>
        <w:tab/>
        <w:tab/>
        <w:tab/>
        <w:t>(ii)</w:t>
        <w:tab/>
        <w:t>“Into Cinergy”:</w:t>
        <w:tab/>
        <w:t>Summer,</w:t>
        <w:tab/>
        <w:t>HenryHub</w:t>
        <w:tab/>
        <w:t>+</w:t>
        <w:tab/>
        <w:t>US$0.23</w:t>
      </w:r>
    </w:p>
    <w:p>
      <w:pPr>
        <w:pStyle w:val="BodyTextIndent"/>
        <w:tabs>
          <w:tab w:val="clear" w:pos="6480"/>
          <w:tab w:val="left" w:pos="90" w:leader="none"/>
          <w:tab w:val="left" w:pos="2160" w:leader="none"/>
          <w:tab w:val="left" w:pos="2700" w:leader="none"/>
          <w:tab w:val="left" w:pos="3420" w:leader="none"/>
          <w:tab w:val="left" w:pos="5040" w:leader="none"/>
          <w:tab w:val="left" w:pos="6120" w:leader="none"/>
          <w:tab w:val="left" w:pos="7380" w:leader="none"/>
          <w:tab w:val="left" w:pos="7740" w:leader="none"/>
        </w:tabs>
        <w:ind w:hanging="2880" w:start="2700" w:end="-90"/>
        <w:jc w:val="start"/>
        <w:rPr>
          <w:sz w:val="22"/>
        </w:rPr>
      </w:pPr>
      <w:r>
        <w:rPr>
          <w:sz w:val="22"/>
        </w:rPr>
        <w:tab/>
        <w:tab/>
        <w:tab/>
        <w:tab/>
        <w:tab/>
        <w:t>Winter,</w:t>
        <w:tab/>
        <w:t>Henry Hub</w:t>
        <w:tab/>
        <w:t>+</w:t>
        <w:tab/>
        <w:t>US$0.40</w:t>
      </w:r>
    </w:p>
    <w:p>
      <w:pPr>
        <w:pStyle w:val="BodyTextIndent"/>
        <w:tabs>
          <w:tab w:val="clear" w:pos="6480"/>
          <w:tab w:val="left" w:pos="90" w:leader="none"/>
          <w:tab w:val="left" w:pos="2160" w:leader="none"/>
          <w:tab w:val="left" w:pos="2700" w:leader="none"/>
          <w:tab w:val="left" w:pos="3420" w:leader="none"/>
          <w:tab w:val="left" w:pos="5040" w:leader="none"/>
          <w:tab w:val="left" w:pos="6120" w:leader="none"/>
          <w:tab w:val="left" w:pos="7380" w:leader="none"/>
          <w:tab w:val="left" w:pos="7740" w:leader="none"/>
        </w:tabs>
        <w:ind w:hanging="2880" w:start="2700" w:end="-90"/>
        <w:jc w:val="start"/>
        <w:rPr>
          <w:sz w:val="22"/>
        </w:rPr>
      </w:pPr>
      <w:r>
        <w:rPr>
          <w:sz w:val="22"/>
        </w:rPr>
        <w:tab/>
        <w:tab/>
        <w:tab/>
        <w:t>(iii)</w:t>
        <w:tab/>
        <w:t>“Into TVA”:</w:t>
        <w:tab/>
        <w:t>Summer,</w:t>
        <w:tab/>
        <w:t>Henry Hub</w:t>
        <w:tab/>
        <w:t>+</w:t>
        <w:tab/>
        <w:t>US$0.16</w:t>
      </w:r>
    </w:p>
    <w:p>
      <w:pPr>
        <w:pStyle w:val="BodyTextIndent"/>
        <w:tabs>
          <w:tab w:val="clear" w:pos="6480"/>
          <w:tab w:val="left" w:pos="90" w:leader="none"/>
          <w:tab w:val="left" w:pos="2160" w:leader="none"/>
          <w:tab w:val="left" w:pos="2700" w:leader="none"/>
          <w:tab w:val="left" w:pos="3420" w:leader="none"/>
          <w:tab w:val="left" w:pos="5040" w:leader="none"/>
          <w:tab w:val="left" w:pos="6120" w:leader="none"/>
          <w:tab w:val="left" w:pos="7380" w:leader="none"/>
          <w:tab w:val="left" w:pos="7740" w:leader="none"/>
        </w:tabs>
        <w:ind w:hanging="2880" w:start="2700" w:end="-90"/>
        <w:jc w:val="start"/>
        <w:rPr>
          <w:sz w:val="22"/>
        </w:rPr>
      </w:pPr>
      <w:r>
        <w:rPr>
          <w:sz w:val="22"/>
        </w:rPr>
        <w:tab/>
        <w:tab/>
        <w:tab/>
        <w:tab/>
        <w:tab/>
        <w:t>Winter,</w:t>
        <w:tab/>
        <w:t>Henry Hub</w:t>
        <w:tab/>
        <w:t>+</w:t>
        <w:tab/>
        <w:t>US$0.32</w:t>
      </w:r>
    </w:p>
    <w:p>
      <w:pPr>
        <w:pStyle w:val="BodyTextIndent"/>
        <w:tabs>
          <w:tab w:val="clear" w:pos="6480"/>
          <w:tab w:val="left" w:pos="90" w:leader="none"/>
          <w:tab w:val="left" w:pos="2160" w:leader="none"/>
          <w:tab w:val="left" w:pos="3600" w:leader="none"/>
          <w:tab w:val="left" w:pos="5760" w:leader="none"/>
          <w:tab w:val="left" w:pos="6840" w:leader="none"/>
        </w:tabs>
        <w:ind w:hanging="3780" w:start="3600" w:end="0"/>
        <w:rPr>
          <w:sz w:val="22"/>
        </w:rPr>
      </w:pPr>
      <w:r>
        <w:rPr>
          <w:sz w:val="22"/>
        </w:rPr>
      </w:r>
    </w:p>
    <w:p>
      <w:pPr>
        <w:pStyle w:val="BodyTextIndent"/>
        <w:tabs>
          <w:tab w:val="clear" w:pos="6480"/>
          <w:tab w:val="left" w:pos="90" w:leader="none"/>
          <w:tab w:val="left" w:pos="2160" w:leader="none"/>
          <w:tab w:val="left" w:pos="2700" w:leader="none"/>
          <w:tab w:val="left" w:pos="5760" w:leader="none"/>
          <w:tab w:val="left" w:pos="6840" w:leader="none"/>
        </w:tabs>
        <w:ind w:hanging="2880" w:start="2700" w:end="0"/>
        <w:rPr>
          <w:sz w:val="22"/>
        </w:rPr>
      </w:pPr>
      <w:r>
        <w:rPr>
          <w:sz w:val="22"/>
        </w:rPr>
        <w:tab/>
        <w:tab/>
        <w:tab/>
        <w:t xml:space="preserve">where, </w:t>
      </w:r>
    </w:p>
    <w:p>
      <w:pPr>
        <w:pStyle w:val="BodyTextIndent"/>
        <w:tabs>
          <w:tab w:val="clear" w:pos="6480"/>
          <w:tab w:val="left" w:pos="90" w:leader="none"/>
          <w:tab w:val="left" w:pos="2160" w:leader="none"/>
          <w:tab w:val="left" w:pos="2700" w:leader="none"/>
          <w:tab w:val="left" w:pos="5760" w:leader="none"/>
          <w:tab w:val="left" w:pos="6840" w:leader="none"/>
        </w:tabs>
        <w:ind w:hanging="2880" w:start="2700" w:end="0"/>
        <w:rPr>
          <w:sz w:val="22"/>
        </w:rPr>
      </w:pPr>
      <w:r>
        <w:rPr>
          <w:sz w:val="22"/>
        </w:rPr>
      </w:r>
    </w:p>
    <w:p>
      <w:pPr>
        <w:pStyle w:val="BodyTextIndent"/>
        <w:tabs>
          <w:tab w:val="clear" w:pos="6480"/>
          <w:tab w:val="left" w:pos="90" w:leader="none"/>
          <w:tab w:val="left" w:pos="2160" w:leader="none"/>
          <w:tab w:val="left" w:pos="2700" w:leader="none"/>
          <w:tab w:val="left" w:pos="5760" w:leader="none"/>
          <w:tab w:val="left" w:pos="6840" w:leader="none"/>
        </w:tabs>
        <w:ind w:hanging="2880" w:start="2700" w:end="0"/>
        <w:rPr>
          <w:sz w:val="22"/>
        </w:rPr>
      </w:pPr>
      <w:r>
        <w:rPr>
          <w:sz w:val="22"/>
        </w:rPr>
        <w:tab/>
        <w:tab/>
        <w:tab/>
        <w:t>“ANR SE” means the mean of the Common High and Common Low Prices published on a calendar day during the Calculation Period under the heading “Daily Price Survey” in the Louisiana-Onshore South:  ANR section of Gas Daily, or if a calendar day is not a Business Day then the price for such calendar day will be the mean of the Common High and Common Low prices published on the next succeeding Business Day.</w:t>
      </w:r>
    </w:p>
    <w:p>
      <w:pPr>
        <w:pStyle w:val="BodyTextIndent"/>
        <w:tabs>
          <w:tab w:val="clear" w:pos="6480"/>
          <w:tab w:val="left" w:pos="90" w:leader="none"/>
          <w:tab w:val="left" w:pos="2160" w:leader="none"/>
          <w:tab w:val="left" w:pos="2700" w:leader="none"/>
          <w:tab w:val="left" w:pos="5760" w:leader="none"/>
          <w:tab w:val="left" w:pos="6840" w:leader="none"/>
        </w:tabs>
        <w:ind w:hanging="2880" w:start="2700" w:end="0"/>
        <w:rPr>
          <w:sz w:val="22"/>
        </w:rPr>
      </w:pPr>
      <w:r>
        <w:rPr>
          <w:sz w:val="22"/>
        </w:rPr>
      </w:r>
    </w:p>
    <w:p>
      <w:pPr>
        <w:pStyle w:val="BodyTextIndent"/>
        <w:tabs>
          <w:tab w:val="clear" w:pos="6480"/>
          <w:tab w:val="left" w:pos="90" w:leader="none"/>
          <w:tab w:val="left" w:pos="2160" w:leader="none"/>
          <w:tab w:val="left" w:pos="2700" w:leader="none"/>
          <w:tab w:val="left" w:pos="5760" w:leader="none"/>
          <w:tab w:val="left" w:pos="6840" w:leader="none"/>
        </w:tabs>
        <w:ind w:hanging="2880" w:start="2700" w:end="0"/>
        <w:rPr>
          <w:sz w:val="22"/>
        </w:rPr>
      </w:pPr>
      <w:r>
        <w:rPr>
          <w:sz w:val="22"/>
        </w:rPr>
        <w:tab/>
        <w:tab/>
        <w:tab/>
        <w:t>“Henry Hub” means the mean of the Common High and Common Low prices published on a calendar day during the Calculation Period under the heading “Daily Price Survey” in the Louisiana—Onshore South:  Henry Hub section of Gas Daily, or if a calendar day is not a Business Day then the price for such calendar day will be the mean of the Common High and Common Low prices published on the next succeeding Business Day.</w:t>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b/>
          <w:sz w:val="22"/>
        </w:rPr>
      </w:pPr>
      <w:r>
        <w:rPr>
          <w:b/>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pPr>
      <w:r>
        <w:rPr>
          <w:b/>
          <w:sz w:val="22"/>
        </w:rPr>
        <w:tab/>
        <w:tab/>
        <w:tab/>
      </w:r>
      <w:r>
        <w:rPr>
          <w:sz w:val="22"/>
        </w:rPr>
        <w:t>“Summer” means the months of _______________.</w:t>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r>
    </w:p>
    <w:p>
      <w:pPr>
        <w:pStyle w:val="BodyTextIndent"/>
        <w:tabs>
          <w:tab w:val="clear" w:pos="90"/>
          <w:tab w:val="left" w:pos="0" w:leader="none"/>
          <w:tab w:val="left" w:pos="2160" w:leader="none"/>
          <w:tab w:val="left" w:pos="2700" w:leader="none"/>
          <w:tab w:val="left" w:pos="4320" w:leader="none"/>
          <w:tab w:val="left" w:pos="6480" w:leader="none"/>
        </w:tabs>
        <w:ind w:hanging="2880" w:start="2700" w:end="0"/>
        <w:rPr>
          <w:sz w:val="22"/>
        </w:rPr>
      </w:pPr>
      <w:r>
        <w:rPr>
          <w:sz w:val="22"/>
        </w:rPr>
        <w:tab/>
        <w:tab/>
        <w:tab/>
        <w:t>“Winter” means the months of _______________.</w:t>
      </w:r>
    </w:p>
    <w:p>
      <w:pPr>
        <w:pStyle w:val="BodyTextIndent"/>
        <w:tabs>
          <w:tab w:val="clear" w:pos="90"/>
          <w:tab w:val="left" w:pos="0" w:leader="none"/>
          <w:tab w:val="left" w:pos="2160" w:leader="none"/>
          <w:tab w:val="left" w:pos="4140" w:leader="none"/>
          <w:tab w:val="left" w:pos="4320" w:leader="none"/>
          <w:tab w:val="left" w:pos="6480" w:leader="none"/>
        </w:tabs>
        <w:ind w:start="0" w:end="0"/>
        <w:rPr>
          <w:b/>
          <w:sz w:val="22"/>
        </w:rPr>
      </w:pPr>
      <w:r>
        <w:rPr>
          <w:b/>
          <w:sz w:val="22"/>
        </w:rPr>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t>Floating Amount Details:</w:t>
        <w:tab/>
        <w:tab/>
      </w:r>
    </w:p>
    <w:p>
      <w:pPr>
        <w:pStyle w:val="BodyTextIndent"/>
        <w:tabs>
          <w:tab w:val="clear" w:pos="90"/>
          <w:tab w:val="left" w:pos="0" w:leader="none"/>
          <w:tab w:val="left" w:pos="2160" w:leader="none"/>
          <w:tab w:val="left" w:pos="4140" w:leader="none"/>
          <w:tab w:val="left" w:pos="4320" w:leader="none"/>
          <w:tab w:val="left" w:pos="6480" w:leader="none"/>
        </w:tabs>
        <w:rPr>
          <w:b/>
          <w:sz w:val="22"/>
        </w:rPr>
      </w:pPr>
      <w:r>
        <w:rPr>
          <w:b/>
          <w:sz w:val="22"/>
        </w:rPr>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tab/>
        <w:t>Floating Price Payer:</w:t>
        <w:tab/>
        <w:tab/>
        <w:t>Counterparty</w:t>
      </w:r>
    </w:p>
    <w:p>
      <w:pPr>
        <w:pStyle w:val="BodyTextIndent"/>
        <w:tabs>
          <w:tab w:val="clear" w:pos="90"/>
          <w:tab w:val="left" w:pos="0" w:leader="none"/>
          <w:tab w:val="left" w:pos="2160" w:leader="none"/>
          <w:tab w:val="left" w:pos="270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2700" w:leader="none"/>
          <w:tab w:val="left" w:pos="6480" w:leader="none"/>
        </w:tabs>
        <w:ind w:hanging="3420" w:start="2700" w:end="0"/>
        <w:rPr>
          <w:sz w:val="22"/>
        </w:rPr>
      </w:pPr>
      <w:r>
        <w:rPr>
          <w:sz w:val="22"/>
        </w:rPr>
        <w:tab/>
        <w:t>Floating Price:</w:t>
        <w:tab/>
        <w:tab/>
        <w:t>The Floating Price (in U.S.$) for each Calculation Period shall be an amount for each hour of scheduled Energy Hourly Quantity calculated pursuant to the following formula:</w:t>
      </w:r>
    </w:p>
    <w:p>
      <w:pPr>
        <w:pStyle w:val="BodyTextIndent"/>
        <w:tabs>
          <w:tab w:val="left" w:pos="90" w:leader="none"/>
          <w:tab w:val="left" w:pos="2160" w:leader="none"/>
          <w:tab w:val="left" w:pos="3600" w:leader="none"/>
          <w:tab w:val="left" w:pos="6480" w:leader="none"/>
        </w:tabs>
        <w:ind w:hanging="4860" w:start="4140" w:end="0"/>
        <w:rPr>
          <w:sz w:val="22"/>
        </w:rPr>
      </w:pPr>
      <w:r>
        <w:rPr>
          <w:sz w:val="22"/>
        </w:rPr>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Energy Hourly Quantity x (Energy Index - Fixed Price) </w:t>
      </w:r>
    </w:p>
    <w:p>
      <w:pPr>
        <w:pStyle w:val="BodyTextIndent"/>
        <w:tabs>
          <w:tab w:val="left" w:pos="90" w:leader="none"/>
          <w:tab w:val="left" w:pos="2160" w:leader="none"/>
          <w:tab w:val="left" w:pos="270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tab/>
        <w:tab/>
        <w:tab/>
        <w:t xml:space="preserve">where, </w:t>
      </w:r>
    </w:p>
    <w:p>
      <w:pPr>
        <w:pStyle w:val="BodyTextIndent"/>
        <w:tabs>
          <w:tab w:val="left" w:pos="90" w:leader="none"/>
          <w:tab w:val="left" w:pos="2160" w:leader="none"/>
          <w:tab w:val="left" w:pos="2700" w:leader="none"/>
          <w:tab w:val="left" w:pos="3780" w:leader="none"/>
          <w:tab w:val="left" w:pos="6480" w:leader="none"/>
        </w:tabs>
        <w:ind w:hanging="3420" w:start="2700" w:end="0"/>
        <w:rPr>
          <w:sz w:val="22"/>
        </w:rPr>
      </w:pPr>
      <w:r>
        <w:rPr>
          <w:sz w:val="22"/>
        </w:rPr>
      </w:r>
    </w:p>
    <w:p>
      <w:pPr>
        <w:pStyle w:val="BodyTextIndent"/>
        <w:tabs>
          <w:tab w:val="left" w:pos="90" w:leader="none"/>
          <w:tab w:val="left" w:pos="2160" w:leader="none"/>
          <w:tab w:val="left" w:pos="2700" w:leader="none"/>
          <w:tab w:val="left" w:pos="6480" w:leader="none"/>
        </w:tabs>
        <w:ind w:hanging="3420" w:start="2700" w:end="0"/>
        <w:rPr>
          <w:sz w:val="22"/>
        </w:rPr>
      </w:pPr>
      <w:r>
        <w:rPr>
          <w:sz w:val="22"/>
        </w:rPr>
        <w:tab/>
        <w:tab/>
        <w:tab/>
        <w:t xml:space="preserve">“Energy Index” means for each Energy Index Point (a) for Monday through Friday, </w:t>
      </w:r>
      <w:r>
        <w:br w:type="page"/>
      </w:r>
    </w:p>
    <w:p>
      <w:pPr>
        <w:pStyle w:val="BodyTextIndent"/>
        <w:tabs>
          <w:tab w:val="left" w:pos="90" w:leader="none"/>
          <w:tab w:val="left" w:pos="2160" w:leader="none"/>
          <w:tab w:val="left" w:pos="3600" w:leader="none"/>
          <w:tab w:val="left" w:pos="3780" w:leader="none"/>
          <w:tab w:val="left" w:pos="6480" w:leader="none"/>
        </w:tabs>
        <w:ind w:hanging="4860" w:start="3780" w:end="0"/>
        <w:rPr>
          <w:sz w:val="22"/>
        </w:rPr>
      </w:pPr>
      <w:r>
        <w:rPr>
          <w:sz w:val="22"/>
        </w:rPr>
      </w:r>
    </w:p>
    <w:p>
      <w:pPr>
        <w:pStyle w:val="BodyTextIndent"/>
        <w:numPr>
          <w:ilvl w:val="0"/>
          <w:numId w:val="2"/>
        </w:numPr>
        <w:tabs>
          <w:tab w:val="left" w:pos="90" w:leader="none"/>
          <w:tab w:val="left" w:pos="2160" w:leader="none"/>
          <w:tab w:val="left" w:pos="3420" w:leader="none"/>
          <w:tab w:val="left" w:pos="3600" w:leader="none"/>
          <w:tab w:val="left" w:pos="6480" w:leader="none"/>
        </w:tabs>
        <w:ind w:hanging="0" w:start="2700" w:end="0"/>
        <w:rPr>
          <w:sz w:val="22"/>
        </w:rPr>
      </w:pPr>
      <w:r>
        <w:rPr>
          <w:sz w:val="22"/>
        </w:rPr>
        <w:t>“</w:t>
      </w:r>
      <w:r>
        <w:rPr>
          <w:sz w:val="22"/>
        </w:rPr>
        <w:t>Into Comed”:</w:t>
      </w:r>
    </w:p>
    <w:p>
      <w:pPr>
        <w:pStyle w:val="BodyTextIndent"/>
        <w:tabs>
          <w:tab w:val="left" w:pos="90" w:leader="none"/>
          <w:tab w:val="left" w:pos="2160" w:leader="none"/>
          <w:tab w:val="left" w:pos="4320" w:leader="none"/>
          <w:tab w:val="left" w:pos="6480" w:leader="none"/>
        </w:tabs>
        <w:ind w:start="4320" w:end="0"/>
        <w:rPr>
          <w:sz w:val="22"/>
        </w:rPr>
      </w:pPr>
      <w:r>
        <w:rPr>
          <w:sz w:val="22"/>
        </w:rPr>
      </w:r>
    </w:p>
    <w:p>
      <w:pPr>
        <w:pStyle w:val="BodyTextIndent"/>
        <w:tabs>
          <w:tab w:val="left" w:pos="90" w:leader="none"/>
          <w:tab w:val="left" w:pos="2160" w:leader="none"/>
          <w:tab w:val="left" w:pos="2700" w:leader="none"/>
          <w:tab w:val="left" w:pos="6480" w:leader="none"/>
        </w:tabs>
        <w:ind w:start="2700" w:end="0"/>
        <w:rPr/>
      </w:pPr>
      <w:r>
        <w:rPr>
          <w:sz w:val="22"/>
        </w:rPr>
        <w:t xml:space="preserve">for each Calculation Period, the price for Electricity as listed in the Daily Price indexes section opposite the caption “Into Comed” and under the heading, “On-Peak” in </w:t>
      </w:r>
      <w:r>
        <w:rPr>
          <w:sz w:val="22"/>
          <w:u w:val="single"/>
        </w:rPr>
        <w:t>Power Market Week’s Daily Price Report</w:t>
      </w:r>
      <w:r>
        <w:rPr>
          <w:sz w:val="22"/>
        </w:rPr>
        <w:t>, or its successors, as published by The McGraw-Hill Companies, Inc., or its successors, for each day during such Calculation Period in which such price is published.</w:t>
      </w:r>
    </w:p>
    <w:p>
      <w:pPr>
        <w:pStyle w:val="BodyTextIndent"/>
        <w:tabs>
          <w:tab w:val="left" w:pos="90" w:leader="none"/>
          <w:tab w:val="left" w:pos="2160" w:leader="none"/>
          <w:tab w:val="left" w:pos="3600" w:leader="none"/>
          <w:tab w:val="left" w:pos="3780" w:leader="none"/>
          <w:tab w:val="left" w:pos="6480" w:leader="none"/>
        </w:tabs>
        <w:ind w:hanging="4860" w:start="3780" w:end="0"/>
        <w:rPr>
          <w:sz w:val="22"/>
        </w:rPr>
      </w:pPr>
      <w:r>
        <w:rPr>
          <w:sz w:val="22"/>
        </w:rPr>
      </w:r>
    </w:p>
    <w:p>
      <w:pPr>
        <w:pStyle w:val="BodyTextIndent"/>
        <w:numPr>
          <w:ilvl w:val="0"/>
          <w:numId w:val="2"/>
        </w:numPr>
        <w:tabs>
          <w:tab w:val="left" w:pos="90" w:leader="none"/>
          <w:tab w:val="left" w:pos="2160" w:leader="none"/>
          <w:tab w:val="left" w:pos="3420" w:leader="none"/>
          <w:tab w:val="left" w:pos="3600" w:leader="none"/>
          <w:tab w:val="left" w:pos="6480" w:leader="none"/>
        </w:tabs>
        <w:ind w:hanging="720" w:start="3420" w:end="0"/>
        <w:rPr>
          <w:sz w:val="22"/>
        </w:rPr>
      </w:pPr>
      <w:r>
        <w:rPr>
          <w:sz w:val="22"/>
        </w:rPr>
        <w:t>“</w:t>
      </w:r>
      <w:r>
        <w:rPr>
          <w:sz w:val="22"/>
        </w:rPr>
        <w:t>Into Cinergy”:</w:t>
      </w:r>
    </w:p>
    <w:p>
      <w:pPr>
        <w:pStyle w:val="BodyTextIndent"/>
        <w:tabs>
          <w:tab w:val="left" w:pos="90" w:leader="none"/>
          <w:tab w:val="left" w:pos="2160" w:leader="none"/>
          <w:tab w:val="left" w:pos="3600" w:leader="none"/>
          <w:tab w:val="left" w:pos="6480" w:leader="none"/>
        </w:tabs>
        <w:ind w:start="3600" w:end="0"/>
        <w:rPr>
          <w:sz w:val="22"/>
        </w:rPr>
      </w:pPr>
      <w:r>
        <w:rPr>
          <w:sz w:val="22"/>
        </w:rPr>
      </w:r>
    </w:p>
    <w:p>
      <w:pPr>
        <w:pStyle w:val="BodyTextIndent"/>
        <w:tabs>
          <w:tab w:val="left" w:pos="90" w:leader="none"/>
          <w:tab w:val="left" w:pos="2160" w:leader="none"/>
          <w:tab w:val="left" w:pos="2700" w:leader="none"/>
          <w:tab w:val="left" w:pos="3600" w:leader="none"/>
          <w:tab w:val="left" w:pos="6480" w:leader="none"/>
        </w:tabs>
        <w:ind w:start="2700" w:end="0"/>
        <w:rPr/>
      </w:pPr>
      <w:r>
        <w:rPr>
          <w:sz w:val="22"/>
        </w:rPr>
        <w:t xml:space="preserve">for each Calculation Period, the price for Electricity as listed in the Daily Price Indexes section opposite the caption “Into Cinergy” and under the heading, “On-Peak” in </w:t>
      </w:r>
      <w:r>
        <w:rPr>
          <w:sz w:val="22"/>
          <w:u w:val="single"/>
        </w:rPr>
        <w:t>Power Market Week’s Daily Price Report</w:t>
      </w:r>
      <w:r>
        <w:rPr>
          <w:sz w:val="22"/>
        </w:rPr>
        <w:t>, or its successors, as published by The McGraw-Hill Companies, Inc., or its successors, for each day during such Calculation Period in which such price is published.</w:t>
      </w:r>
    </w:p>
    <w:p>
      <w:pPr>
        <w:pStyle w:val="BodyTextIndent"/>
        <w:tabs>
          <w:tab w:val="left" w:pos="90" w:leader="none"/>
          <w:tab w:val="left" w:pos="2160" w:leader="none"/>
          <w:tab w:val="left" w:pos="3600" w:leader="none"/>
          <w:tab w:val="left" w:pos="6480" w:leader="none"/>
        </w:tabs>
        <w:ind w:hanging="4680" w:start="3600" w:end="0"/>
        <w:rPr>
          <w:sz w:val="22"/>
        </w:rPr>
      </w:pPr>
      <w:r>
        <w:rPr>
          <w:sz w:val="22"/>
        </w:rPr>
      </w:r>
    </w:p>
    <w:p>
      <w:pPr>
        <w:pStyle w:val="BodyTextIndent"/>
        <w:numPr>
          <w:ilvl w:val="0"/>
          <w:numId w:val="2"/>
        </w:numPr>
        <w:tabs>
          <w:tab w:val="left" w:pos="90" w:leader="none"/>
          <w:tab w:val="left" w:pos="2160" w:leader="none"/>
          <w:tab w:val="left" w:pos="2700" w:leader="none"/>
          <w:tab w:val="left" w:pos="3420" w:leader="none"/>
          <w:tab w:val="left" w:pos="6480" w:leader="none"/>
        </w:tabs>
        <w:ind w:hanging="0" w:start="2700" w:end="0"/>
        <w:rPr>
          <w:sz w:val="22"/>
        </w:rPr>
      </w:pPr>
      <w:r>
        <w:rPr>
          <w:sz w:val="22"/>
        </w:rPr>
        <w:t>“</w:t>
      </w:r>
      <w:r>
        <w:rPr>
          <w:sz w:val="22"/>
        </w:rPr>
        <w:t>Into TVA”:</w:t>
      </w:r>
    </w:p>
    <w:p>
      <w:pPr>
        <w:pStyle w:val="BodyTextIndent"/>
        <w:tabs>
          <w:tab w:val="left" w:pos="90" w:leader="none"/>
          <w:tab w:val="left" w:pos="2160" w:leader="none"/>
          <w:tab w:val="left" w:pos="3600" w:leader="none"/>
          <w:tab w:val="left" w:pos="6480" w:leader="none"/>
        </w:tabs>
        <w:ind w:start="3600" w:end="0"/>
        <w:rPr>
          <w:sz w:val="22"/>
        </w:rPr>
      </w:pPr>
      <w:r>
        <w:rPr>
          <w:sz w:val="22"/>
        </w:rPr>
      </w:r>
    </w:p>
    <w:p>
      <w:pPr>
        <w:pStyle w:val="BodyTextIndent"/>
        <w:tabs>
          <w:tab w:val="left" w:pos="90" w:leader="none"/>
          <w:tab w:val="left" w:pos="2160" w:leader="none"/>
          <w:tab w:val="left" w:pos="2700" w:leader="none"/>
          <w:tab w:val="left" w:pos="3600" w:leader="none"/>
          <w:tab w:val="left" w:pos="6480" w:leader="none"/>
        </w:tabs>
        <w:ind w:start="2700" w:end="0"/>
        <w:rPr/>
      </w:pPr>
      <w:r>
        <w:rPr>
          <w:sz w:val="22"/>
        </w:rPr>
        <w:t xml:space="preserve">for each Calculation Period, the price for Electricity as listed in the Daily Price Indexes section opposite the caption “Into TVA” and under the heading, “On-Peak” in </w:t>
      </w:r>
      <w:r>
        <w:rPr>
          <w:sz w:val="22"/>
          <w:u w:val="single"/>
        </w:rPr>
        <w:t>Power Market Week’s Daily Price Report</w:t>
      </w:r>
      <w:r>
        <w:rPr>
          <w:sz w:val="22"/>
        </w:rPr>
        <w:t>, or its successors, as published by The McGraw-Hill Companies, Inc., or its successors, for each day during such Calculation Period in which such price is published.</w:t>
      </w:r>
    </w:p>
    <w:p>
      <w:pPr>
        <w:pStyle w:val="BodyTextIndent"/>
        <w:tabs>
          <w:tab w:val="left" w:pos="90" w:leader="none"/>
          <w:tab w:val="left" w:pos="2160" w:leader="none"/>
          <w:tab w:val="left" w:pos="3600" w:leader="none"/>
          <w:tab w:val="left" w:pos="3780" w:leader="none"/>
          <w:tab w:val="left" w:pos="6480" w:leader="none"/>
        </w:tabs>
        <w:ind w:hanging="4860" w:start="3780" w:end="0"/>
        <w:rPr>
          <w:sz w:val="22"/>
        </w:rPr>
      </w:pPr>
      <w:r>
        <w:rPr>
          <w:sz w:val="22"/>
        </w:rPr>
      </w:r>
    </w:p>
    <w:p>
      <w:pPr>
        <w:pStyle w:val="BodyTextIndent"/>
        <w:tabs>
          <w:tab w:val="clear" w:pos="90"/>
          <w:tab w:val="clear" w:pos="6480"/>
          <w:tab w:val="left" w:pos="0" w:leader="none"/>
          <w:tab w:val="left" w:pos="2160" w:leader="none"/>
          <w:tab w:val="left" w:pos="2700" w:leader="none"/>
          <w:tab w:val="left" w:pos="5760" w:leader="none"/>
          <w:tab w:val="left" w:pos="6840" w:leader="none"/>
        </w:tabs>
        <w:ind w:start="2700" w:end="0"/>
        <w:rPr>
          <w:sz w:val="22"/>
        </w:rPr>
      </w:pPr>
      <w:r>
        <w:rPr>
          <w:sz w:val="22"/>
        </w:rPr>
        <w:t>and (b) for weekend prices, a number agreed to by the parties based on [actual market quotes for firm – LD products for each Energy Index Point.</w:t>
      </w:r>
    </w:p>
    <w:p>
      <w:pPr>
        <w:pStyle w:val="BodyTextIndent"/>
        <w:tabs>
          <w:tab w:val="clear" w:pos="90"/>
          <w:tab w:val="clear" w:pos="6480"/>
          <w:tab w:val="left" w:pos="0" w:leader="none"/>
          <w:tab w:val="left" w:pos="2160" w:leader="none"/>
          <w:tab w:val="left" w:pos="3600" w:leader="none"/>
          <w:tab w:val="left" w:pos="5760" w:leader="none"/>
          <w:tab w:val="left" w:pos="6840" w:leader="none"/>
        </w:tabs>
        <w:ind w:start="0" w:end="0"/>
        <w:rPr>
          <w:sz w:val="22"/>
        </w:rPr>
      </w:pPr>
      <w:r>
        <w:rPr>
          <w:sz w:val="22"/>
        </w:rPr>
      </w:r>
    </w:p>
    <w:p>
      <w:pPr>
        <w:pStyle w:val="BodyTextIndent"/>
        <w:tabs>
          <w:tab w:val="clear" w:pos="90"/>
          <w:tab w:val="clear" w:pos="6480"/>
          <w:tab w:val="left" w:pos="-720" w:leader="none"/>
          <w:tab w:val="left" w:pos="2160" w:leader="none"/>
          <w:tab w:val="left" w:pos="2700" w:leader="none"/>
          <w:tab w:val="left" w:pos="5760" w:leader="none"/>
          <w:tab w:val="left" w:pos="6840" w:leader="none"/>
        </w:tabs>
        <w:ind w:hanging="3420" w:start="2700" w:end="0"/>
        <w:rPr/>
      </w:pPr>
      <w:r>
        <w:rPr>
          <w:sz w:val="22"/>
        </w:rPr>
        <w:t>Payment Date(s):</w:t>
        <w:tab/>
        <w:tab/>
        <w:t>The [fifth (5</w:t>
      </w:r>
      <w:r>
        <w:rPr>
          <w:sz w:val="22"/>
          <w:vertAlign w:val="superscript"/>
        </w:rPr>
        <w:t>th</w:t>
      </w:r>
      <w:r>
        <w:rPr>
          <w:sz w:val="22"/>
        </w:rPr>
        <w:t>)] day after the Floating Price is determinable for the final Calculation Period during the relevant calendar month during the term of this Transaction.  [Payments (including Premium Payments) with respect to each Calculation Period with respect to the relevant calendar month shall be aggregated and netted and the party to whom money is owed, if any, shall invoice the other party.]</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start="0" w:end="0"/>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pPr>
      <w:r>
        <w:rPr>
          <w:sz w:val="22"/>
        </w:rPr>
        <w:t>For the purposes of the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number is less than five (5), then the third (3</w:t>
      </w:r>
      <w:r>
        <w:rPr>
          <w:sz w:val="22"/>
          <w:vertAlign w:val="superscript"/>
        </w:rPr>
        <w:t>rd</w:t>
      </w:r>
      <w:r>
        <w:rPr>
          <w:sz w:val="22"/>
        </w:rPr>
        <w:t>) decimal number shall remain unchanged.</w:t>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ind w:firstLine="720" w:end="0"/>
        <w:rPr>
          <w:sz w:val="22"/>
        </w:rPr>
      </w:pPr>
      <w:r>
        <w:rPr>
          <w:sz w:val="22"/>
        </w:rPr>
        <w:t xml:space="preserve">If this Confirmation correctly sets forth the terms of the Transaction that we have entered into, please promptly confirm in a reply to us by signing below and sending this Confirmation (or a copy hereof) to us (or notifying us of any bonafide error that would require revision in order to accurately reflect our agreement on the Transaction ) by facsimile transmission within two Business Days after your </w:t>
      </w:r>
      <w:r>
        <w:br w:type="page"/>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receipt of this Confirmation.  If you fail to so reply within such time period, the terms hereof will constitute binding and conclusive evidence of the Transaction.  We look forward to receiving your prompt reply.</w:t>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Sincerely,</w:t>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t>Enron North America Corp.</w:t>
        <w:tab/>
        <w:tab/>
        <w:t>[Counterparty]</w:t>
      </w:r>
    </w:p>
    <w:p>
      <w:pPr>
        <w:pStyle w:val="BodyTextIndent"/>
        <w:tabs>
          <w:tab w:val="clear" w:pos="90"/>
          <w:tab w:val="clear" w:pos="6480"/>
          <w:tab w:val="left" w:pos="0" w:leader="none"/>
          <w:tab w:val="left" w:pos="216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2880" w:leader="none"/>
          <w:tab w:val="left" w:pos="4140" w:leader="none"/>
          <w:tab w:val="left" w:pos="5760" w:leader="none"/>
          <w:tab w:val="left" w:pos="6840" w:leader="none"/>
        </w:tabs>
        <w:rPr>
          <w:sz w:val="22"/>
        </w:rPr>
      </w:pPr>
      <w:r>
        <w:rPr>
          <w:sz w:val="22"/>
        </w:rPr>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By: </w:t>
      </w:r>
      <w:r>
        <w:rPr>
          <w:sz w:val="22"/>
          <w:u w:val="single"/>
        </w:rPr>
        <w:tab/>
        <w:tab/>
        <w:tab/>
      </w:r>
      <w:r>
        <w:rPr>
          <w:sz w:val="22"/>
        </w:rPr>
        <w:tab/>
        <w:t xml:space="preserve">By: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 xml:space="preserve">Name: </w:t>
      </w:r>
      <w:r>
        <w:rPr>
          <w:sz w:val="22"/>
          <w:u w:val="single"/>
        </w:rPr>
        <w:tab/>
        <w:tab/>
        <w:tab/>
      </w:r>
      <w:r>
        <w:rPr>
          <w:sz w:val="22"/>
        </w:rPr>
        <w:tab/>
        <w:t xml:space="preserve">Name: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rPr>
      </w:pPr>
      <w:r>
        <w:rPr>
          <w:sz w:val="22"/>
        </w:rPr>
        <w:t xml:space="preserve">Title: </w:t>
      </w:r>
      <w:r>
        <w:rPr>
          <w:sz w:val="22"/>
          <w:u w:val="single"/>
        </w:rPr>
        <w:tab/>
        <w:tab/>
        <w:tab/>
      </w:r>
      <w:r>
        <w:rPr>
          <w:sz w:val="22"/>
        </w:rPr>
        <w:tab/>
        <w:t xml:space="preserve">Title: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pPr>
      <w:r>
        <w:rPr>
          <w:sz w:val="22"/>
        </w:rPr>
        <w:t>Date: December _____, 1999</w:t>
        <w:tab/>
        <w:tab/>
        <w:tab/>
        <w:t xml:space="preserve">Date: </w:t>
      </w:r>
      <w:r>
        <w:rPr>
          <w:sz w:val="22"/>
          <w:u w:val="single"/>
        </w:rPr>
        <w:tab/>
        <w:tab/>
        <w:tab/>
        <w:tab/>
      </w:r>
    </w:p>
    <w:p>
      <w:pPr>
        <w:pStyle w:val="BodyTextIndent"/>
        <w:tabs>
          <w:tab w:val="clear" w:pos="90"/>
          <w:tab w:val="clear" w:pos="6480"/>
          <w:tab w:val="left" w:pos="0" w:leader="none"/>
          <w:tab w:val="left" w:pos="2160" w:leader="none"/>
          <w:tab w:val="left" w:pos="3600" w:leader="none"/>
          <w:tab w:val="left" w:pos="4140" w:leader="none"/>
          <w:tab w:val="left" w:pos="5760" w:leader="none"/>
          <w:tab w:val="left" w:pos="6840" w:leader="none"/>
        </w:tabs>
        <w:rPr>
          <w:sz w:val="22"/>
          <w:u w:val="single"/>
        </w:rPr>
      </w:pPr>
      <w:r>
        <w:rPr>
          <w:sz w:val="22"/>
          <w:u w:val="single"/>
        </w:rPr>
      </w:r>
    </w:p>
    <w:sectPr>
      <w:headerReference w:type="default" r:id="rId3"/>
      <w:footerReference w:type="default" r:id="rId4"/>
      <w:type w:val="nextPage"/>
      <w:pgSz w:w="12240" w:h="15840"/>
      <w:pgMar w:left="1800" w:right="1800" w:gutter="0" w:header="720" w:top="810"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/mnt/main-storage/datasets/enron-docs/doc/Merrill.doc</w:t>
    </w:r>
    <w:r>
      <w:rPr>
        <w:sz w:val="12"/>
        <w:rFonts w:cs="Arial" w:ascii="Arial" w:hAnsi="Arial"/>
        <w:lang w:eastAsia="en-US"/>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Fonts w:cs="Arial" w:ascii="Arial" w:hAnsi="Arial"/>
        <w:b/>
        <w:sz w:val="32"/>
      </w:rPr>
      <w:t xml:space="preserve">DRAFT </w:t>
    </w:r>
    <w:r>
      <w:rPr>
        <w:rFonts w:cs="Arial" w:ascii="Arial" w:hAnsi="Arial"/>
        <w:b/>
      </w:rPr>
      <w:t xml:space="preserve">                                                              </w:t>
    </w:r>
    <w:r>
      <w:rPr>
        <w:rFonts w:cs="Arial" w:ascii="Arial" w:hAnsi="Arial"/>
        <w:sz w:val="16"/>
      </w:rPr>
      <w:t xml:space="preserve">Deal No._______________ </w:t>
    </w:r>
  </w:p>
  <w:p>
    <w:pPr>
      <w:pStyle w:val="Header"/>
      <w:jc w:val="end"/>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4320"/>
        </w:tabs>
        <w:ind w:start="43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
    <w:qFormat/>
    <w:pPr>
      <w:keepNext w:val="true"/>
      <w:widowControl w:val="false"/>
      <w:numPr>
        <w:ilvl w:val="2"/>
        <w:numId w:val="1"/>
      </w:numPr>
      <w:jc w:val="center"/>
      <w:outlineLvl w:val="2"/>
    </w:pPr>
    <w:rPr>
      <w:sz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1999-12-15T12:45:00Z</dcterms:created>
  <dc:creator>wende warren</dc:creator>
  <dc:description/>
  <dc:language>en-CA</dc:language>
  <cp:lastModifiedBy>rdecker</cp:lastModifiedBy>
  <cp:lastPrinted>1999-12-15T13:39:00Z</cp:lastPrinted>
  <dcterms:modified xsi:type="dcterms:W3CDTF">1999-12-15T17:09:00Z</dcterms:modified>
  <cp:revision>30</cp:revision>
  <dc:subject/>
  <dc:title> </dc:title>
</cp:coreProperties>
</file>