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 E M O R A N D U M</w:t>
      </w:r>
    </w:p>
    <w:p>
      <w:pPr>
        <w:pStyle w:val="Normal"/>
        <w:rPr/>
      </w:pPr>
      <w:r>
        <w:rPr/>
      </w:r>
    </w:p>
    <w:p>
      <w:pPr>
        <w:pStyle w:val="Normal"/>
        <w:rPr/>
      </w:pPr>
      <w:r>
        <w:rPr/>
        <w:t>Date:</w:t>
        <w:tab/>
        <w:t>March 2001</w:t>
      </w:r>
    </w:p>
    <w:p>
      <w:pPr>
        <w:pStyle w:val="Normal"/>
        <w:pBdr>
          <w:bottom w:val="double" w:sz="6" w:space="1" w:color="000000"/>
        </w:pBdr>
        <w:rPr/>
      </w:pPr>
      <w:r>
        <w:rPr/>
        <w:t>RE:</w:t>
        <w:tab/>
        <w:t>Merlin Summary</w:t>
      </w:r>
    </w:p>
    <w:p>
      <w:pPr>
        <w:pStyle w:val="Normal"/>
        <w:rPr/>
      </w:pPr>
      <w:r>
        <w:rPr/>
      </w:r>
    </w:p>
    <w:p>
      <w:pPr>
        <w:pStyle w:val="Heading2"/>
        <w:ind w:hanging="0" w:start="0"/>
        <w:rPr/>
      </w:pPr>
      <w:r>
        <w:rPr/>
        <w:t>ENA CLO Trust I Origin - December 1999</w:t>
      </w:r>
    </w:p>
    <w:p>
      <w:pPr>
        <w:pStyle w:val="Normal"/>
        <w:rPr/>
      </w:pPr>
      <w:r>
        <w:rPr/>
        <w:t>In December 1999, after six months of due diligence and structuring, ENA CLO was closed.  The transaction was a contribution of a portfolio of 23 non-investment grade structured credits with $320.1MM ($249.5MM net to ENA due to portions of the assets in Jedi II  and EnSerCo) of carrying value from ENA.  Bear Stearns led a $268.2MM public debt placement. The remaining $56.0MM raised was placed with Condor and LJM2.  Gross proceeds received totaled $324.2MM.  ENA is the Servicer of the portfolio and, as a result, bears a fiduciary responsibility to the investors.</w:t>
      </w:r>
    </w:p>
    <w:p>
      <w:pPr>
        <w:pStyle w:val="Normal"/>
        <w:rPr/>
      </w:pPr>
      <w:r>
        <w:rPr/>
      </w:r>
    </w:p>
    <w:p>
      <w:pPr>
        <w:pStyle w:val="Normal"/>
        <w:rPr/>
      </w:pPr>
      <w:r>
        <w:rPr/>
        <w:t>The following assets were contributed to the structure  (assets in bold are in default):</w:t>
      </w:r>
    </w:p>
    <w:tbl>
      <w:tblPr>
        <w:tblW w:w="9108" w:type="dxa"/>
        <w:jc w:val="start"/>
        <w:tblInd w:w="0" w:type="dxa"/>
        <w:tblLayout w:type="fixed"/>
        <w:tblCellMar>
          <w:top w:w="0" w:type="dxa"/>
          <w:start w:w="108" w:type="dxa"/>
          <w:bottom w:w="0" w:type="dxa"/>
          <w:end w:w="108" w:type="dxa"/>
        </w:tblCellMar>
      </w:tblPr>
      <w:tblGrid>
        <w:gridCol w:w="2268"/>
        <w:gridCol w:w="1440"/>
        <w:gridCol w:w="1080"/>
        <w:gridCol w:w="1440"/>
        <w:gridCol w:w="1440"/>
        <w:gridCol w:w="1440"/>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p>
            <w:pPr>
              <w:pStyle w:val="Normal"/>
              <w:rPr>
                <w:b/>
                <w:bCs/>
              </w:rPr>
            </w:pPr>
            <w:r>
              <w:rPr>
                <w:b/>
                <w:bCs/>
              </w:rPr>
            </w:r>
          </w:p>
          <w:p>
            <w:pPr>
              <w:pStyle w:val="Normal"/>
              <w:rPr>
                <w:b/>
                <w:bCs/>
              </w:rPr>
            </w:pPr>
            <w:r>
              <w:rPr>
                <w:b/>
                <w:bCs/>
              </w:rPr>
              <w:t>Obligor</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 xml:space="preserve">Original Principal Amount </w:t>
            </w:r>
            <w:r>
              <w:rPr>
                <w:b/>
                <w:bCs/>
                <w:sz w:val="20"/>
              </w:rPr>
              <w:t>($MM)</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p>
            <w:pPr>
              <w:pStyle w:val="Normal"/>
              <w:rPr>
                <w:b/>
                <w:bCs/>
              </w:rPr>
            </w:pPr>
            <w:r>
              <w:rPr>
                <w:b/>
                <w:bCs/>
              </w:rPr>
              <w:t>Senior/</w:t>
            </w:r>
          </w:p>
          <w:p>
            <w:pPr>
              <w:pStyle w:val="Normal"/>
              <w:rPr>
                <w:b/>
                <w:bCs/>
              </w:rPr>
            </w:pPr>
            <w:r>
              <w:rPr>
                <w:b/>
                <w:bCs/>
              </w:rPr>
              <w:t>Sub</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p>
            <w:pPr>
              <w:pStyle w:val="Normal"/>
              <w:rPr>
                <w:b/>
                <w:bCs/>
              </w:rPr>
            </w:pPr>
            <w:r>
              <w:rPr>
                <w:b/>
                <w:bCs/>
              </w:rPr>
              <w:t>Secured/</w:t>
            </w:r>
          </w:p>
          <w:p>
            <w:pPr>
              <w:pStyle w:val="Normal"/>
              <w:rPr>
                <w:b/>
                <w:bCs/>
              </w:rPr>
            </w:pPr>
            <w:r>
              <w:rPr>
                <w:b/>
                <w:bCs/>
              </w:rPr>
              <w:t>Unsecured</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 xml:space="preserve">Current Principal Amount </w:t>
            </w:r>
            <w:r>
              <w:rPr>
                <w:b/>
                <w:bCs/>
                <w:sz w:val="20"/>
              </w:rPr>
              <w:t>($MM)</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rPr>
              <w:t xml:space="preserve">Principal Amount </w:t>
            </w:r>
            <w:r>
              <w:rPr>
                <w:b/>
                <w:bCs/>
                <w:sz w:val="20"/>
              </w:rPr>
              <w:t>($MM)</w:t>
            </w:r>
          </w:p>
          <w:p>
            <w:pPr>
              <w:pStyle w:val="Heading1"/>
              <w:ind w:hanging="0" w:start="0"/>
              <w:rPr/>
            </w:pPr>
            <w:r>
              <w:rPr/>
              <w:t>July 2001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American Coal</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$35.00</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 (2</w:t>
            </w:r>
            <w:r>
              <w:rPr>
                <w:vertAlign w:val="superscript"/>
              </w:rPr>
              <w:t>nd</w:t>
            </w: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$35.00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$35.00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Beau Canada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26.68</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 (2</w:t>
            </w:r>
            <w:r>
              <w:rPr>
                <w:vertAlign w:val="superscript"/>
              </w:rPr>
              <w:t>nd</w:t>
            </w: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Bonus Resources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15.00</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 (2</w:t>
            </w:r>
            <w:r>
              <w:rPr>
                <w:vertAlign w:val="superscript"/>
              </w:rPr>
              <w:t>nd</w:t>
            </w: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12.50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12.50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CanFibre Riverside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7.15</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b/>
                <w:bCs/>
              </w:rPr>
              <w:t>Sec (2</w:t>
            </w:r>
            <w:r>
              <w:rPr>
                <w:b/>
                <w:bCs/>
                <w:vertAlign w:val="superscript"/>
              </w:rPr>
              <w:t>nd</w:t>
            </w:r>
            <w:r>
              <w:rPr>
                <w:b/>
                <w:bCs/>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Paid by Put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CanFibre Riverside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25.00</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Senior</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Sec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25.00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Expect Put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City Forest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20.00</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Sr. 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b/>
                <w:bCs/>
              </w:rPr>
              <w:t>Sec (2</w:t>
            </w:r>
            <w:r>
              <w:rPr>
                <w:b/>
                <w:bCs/>
                <w:vertAlign w:val="superscript"/>
              </w:rPr>
              <w:t>nd</w:t>
            </w:r>
            <w:r>
              <w:rPr>
                <w:b/>
                <w:bCs/>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19.61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19.61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City Forest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8.81</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b/>
                <w:bCs/>
              </w:rPr>
              <w:t>Sec (3</w:t>
            </w:r>
            <w:r>
              <w:rPr>
                <w:b/>
                <w:bCs/>
                <w:vertAlign w:val="superscript"/>
              </w:rPr>
              <w:t>rd</w:t>
            </w:r>
            <w:r>
              <w:rPr>
                <w:b/>
                <w:bCs/>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10.00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10.00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Cline Panther</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15.91</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Senior</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10.75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10.75</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Cline Dakota</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8.42</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Senior</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6.25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6.25</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East Coast Power</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30.00</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Unsec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30.00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30.00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HV Marine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22.50</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Sr. 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 (3</w:t>
            </w:r>
            <w:r>
              <w:rPr>
                <w:vertAlign w:val="superscript"/>
              </w:rPr>
              <w:t>rd</w:t>
            </w: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23.54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23.54</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H.V. Marine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15.00</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Senior</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 (2</w:t>
            </w:r>
            <w:r>
              <w:rPr>
                <w:vertAlign w:val="superscript"/>
              </w:rPr>
              <w:t>nd</w:t>
            </w: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Heartland Steel</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15.00</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Sr. 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b/>
                <w:bCs/>
              </w:rPr>
              <w:t>Sec (2</w:t>
            </w:r>
            <w:r>
              <w:rPr>
                <w:b/>
                <w:bCs/>
                <w:vertAlign w:val="superscript"/>
              </w:rPr>
              <w:t>nd</w:t>
            </w:r>
            <w:r>
              <w:rPr>
                <w:b/>
                <w:bCs/>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15.00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 xml:space="preserve"> </w:t>
            </w:r>
            <w:r>
              <w:rPr>
                <w:b/>
                <w:bCs/>
              </w:rPr>
              <w:t>Expect Put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Kafus Industries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18.37</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Senior</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Sec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23.74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Expect Put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Lewis Energy</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2.74</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Lewis Energy</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2.00</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Senior</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LSI Interest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5.95</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Senior</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Sold</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Oconto Falls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5.00</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5.00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5.00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Ridgelake Energy</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4.69</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Senior</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Sierra Well Services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24.41</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Senior</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Sold</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Sierra Well Services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25.76</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 (2</w:t>
            </w:r>
            <w:r>
              <w:rPr>
                <w:vertAlign w:val="superscript"/>
              </w:rPr>
              <w:t>nd</w:t>
            </w: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Paid by Put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Transcoastal Marine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$20.0</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Sub</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Sec (2</w:t>
            </w:r>
            <w:r>
              <w:rPr>
                <w:vertAlign w:val="superscript"/>
              </w:rPr>
              <w:t>nd</w:t>
            </w: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Paid by Put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Total</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lang w:val="en-CA" w:eastAsia="en-CA"/>
              </w:rPr>
            </w:pPr>
            <w:r>
              <w:fldChar w:fldCharType="begin"/>
            </w:r>
            <w:r>
              <w:rPr>
                <w:lang w:val="en-CA" w:eastAsia="en-CA"/>
              </w:rPr>
              <w:instrText xml:space="preserve"> =SUM(ABOVE) </w:instrText>
            </w:r>
            <w:r>
              <w:rPr>
                <w:lang w:val="en-CA" w:eastAsia="en-CA"/>
              </w:rPr>
            </w:r>
            <w:r>
              <w:rPr>
                <w:lang w:val="en-CA" w:eastAsia="en-CA"/>
              </w:rPr>
              <w:fldChar w:fldCharType="separate"/>
            </w:r>
            <w:r>
              <w:rPr>
                <w:lang w:val="en-CA" w:eastAsia="en-CA"/>
              </w:rPr>
              <w:t>$353.39</w:t>
            </w:r>
            <w:r/>
            <w:r>
              <w:rPr>
                <w:lang w:val="en-CA" w:eastAsia="en-CA"/>
              </w:rPr>
              <w:fldChar w:fldCharType="end"/>
            </w:r>
            <w:r>
              <w:rPr>
                <w:lang w:val="en-CA" w:eastAsia="en-CA"/>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$216.39</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$152.65</w:t>
            </w:r>
          </w:p>
        </w:tc>
      </w:tr>
    </w:tbl>
    <w:p>
      <w:pPr>
        <w:pStyle w:val="BodyText"/>
        <w:rPr/>
      </w:pPr>
      <w:r>
        <w:rPr/>
        <w:t>Note, City Forest sub and CanFibre of Riverside Sub had commitments up to $10MM and $15MM, respectively.  Additionally, Sierra Well sub, Beau Canada, HV Sr Sub and Kafus all had PIK options.</w:t>
      </w:r>
    </w:p>
    <w:p>
      <w:pPr>
        <w:pStyle w:val="Heading2"/>
        <w:ind w:hanging="0" w:start="0"/>
        <w:rPr/>
      </w:pPr>
      <w:r>
        <w:rPr/>
      </w:r>
    </w:p>
    <w:p>
      <w:pPr>
        <w:pStyle w:val="Heading2"/>
        <w:ind w:hanging="0" w:start="0"/>
        <w:rPr/>
      </w:pPr>
      <w:r>
        <w:rPr/>
        <w:t>ENA CLO I Trust Structure</w:t>
      </w:r>
    </w:p>
    <w:p>
      <w:pPr>
        <w:pStyle w:val="Normal"/>
        <w:rPr/>
      </w:pPr>
      <w:r>
        <w:rPr/>
        <w:t>As a result of numerous Monte Carlo simulations ran with varying defaults, recovery and lag rates the transaction was structured with eight debt classes that sequentially benefit from the cash flows generated by the portfolio of structured credits held by ENA CLO I.  Payments by the Trust were limited to the cash flows generated by the portfolio of structured credits held by ENA Holding.  Certain overcollateralization tests apply to each of the debt tranches, which, in certain circumstances, may result in no payments being made to the holders of certain classes of debt.  The obligations of the ENA CLO are non-recourse to Enron.  Condor purchased $6MM of the B1 and 100% of B2 Notes.  LJM purchased the equity.</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478"/>
        <w:gridCol w:w="1484"/>
        <w:gridCol w:w="1530"/>
        <w:gridCol w:w="1495"/>
        <w:gridCol w:w="1479"/>
        <w:gridCol w:w="1390"/>
      </w:tblGrid>
      <w:tr>
        <w:trPr/>
        <w:tc>
          <w:tcPr>
            <w:tcW w:w="14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Notes</w:t>
            </w:r>
          </w:p>
        </w:tc>
        <w:tc>
          <w:tcPr>
            <w:tcW w:w="1484"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p>
            <w:pPr>
              <w:pStyle w:val="Normal"/>
              <w:jc w:val="end"/>
              <w:rPr>
                <w:sz w:val="20"/>
              </w:rPr>
            </w:pPr>
            <w:r>
              <w:rPr>
                <w:sz w:val="20"/>
              </w:rPr>
              <w:t>($MM)</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pPr>
            <w:r>
              <w:rPr/>
              <w:t>Rate</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t>Moody Rating</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Fitch Rating</w:t>
            </w:r>
          </w:p>
        </w:tc>
        <w:tc>
          <w:tcPr>
            <w:tcW w:w="1390" w:type="dxa"/>
            <w:tcBorders>
              <w:top w:val="single" w:sz="4" w:space="0" w:color="000000"/>
              <w:start w:val="single" w:sz="4" w:space="0" w:color="000000"/>
              <w:bottom w:val="single" w:sz="4" w:space="0" w:color="000000"/>
              <w:end w:val="single" w:sz="4" w:space="0" w:color="000000"/>
            </w:tcBorders>
          </w:tcPr>
          <w:p>
            <w:pPr>
              <w:pStyle w:val="Normal"/>
              <w:jc w:val="center"/>
              <w:rPr/>
            </w:pPr>
            <w:r>
              <w:rPr/>
              <w:t>Outstanding 1/15/01</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rPr/>
            </w:pPr>
            <w:r>
              <w:rPr/>
              <w:t>Class A1-L</w:t>
            </w:r>
          </w:p>
        </w:tc>
        <w:tc>
          <w:tcPr>
            <w:tcW w:w="1484" w:type="dxa"/>
            <w:tcBorders>
              <w:top w:val="single" w:sz="4" w:space="0" w:color="000000"/>
              <w:start w:val="single" w:sz="4" w:space="0" w:color="000000"/>
              <w:bottom w:val="single" w:sz="4" w:space="0" w:color="000000"/>
              <w:end w:val="single" w:sz="4" w:space="0" w:color="000000"/>
            </w:tcBorders>
          </w:tcPr>
          <w:p>
            <w:pPr>
              <w:pStyle w:val="Normal"/>
              <w:jc w:val="end"/>
              <w:rPr/>
            </w:pPr>
            <w:r>
              <w:rPr/>
              <w:t>$101.5</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Floating</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t>Aaa</w:t>
            </w:r>
          </w:p>
        </w:tc>
        <w:tc>
          <w:tcPr>
            <w:tcW w:w="1479" w:type="dxa"/>
            <w:tcBorders>
              <w:top w:val="single" w:sz="4" w:space="0" w:color="000000"/>
              <w:start w:val="single" w:sz="4" w:space="0" w:color="000000"/>
              <w:bottom w:val="single" w:sz="4" w:space="0" w:color="000000"/>
              <w:end w:val="single" w:sz="4" w:space="0" w:color="000000"/>
            </w:tcBorders>
          </w:tcPr>
          <w:p>
            <w:pPr>
              <w:pStyle w:val="Normal"/>
              <w:jc w:val="center"/>
              <w:rPr/>
            </w:pPr>
            <w:r>
              <w:rPr/>
              <w:t>AAA</w:t>
            </w:r>
          </w:p>
        </w:tc>
        <w:tc>
          <w:tcPr>
            <w:tcW w:w="1390" w:type="dxa"/>
            <w:tcBorders>
              <w:top w:val="single" w:sz="4" w:space="0" w:color="000000"/>
              <w:start w:val="single" w:sz="4" w:space="0" w:color="000000"/>
              <w:bottom w:val="single" w:sz="4" w:space="0" w:color="000000"/>
              <w:end w:val="single" w:sz="4" w:space="0" w:color="000000"/>
            </w:tcBorders>
          </w:tcPr>
          <w:p>
            <w:pPr>
              <w:pStyle w:val="Normal"/>
              <w:jc w:val="end"/>
              <w:rPr/>
            </w:pPr>
            <w:r>
              <w:rPr/>
              <w:t xml:space="preserve">   </w:t>
            </w:r>
            <w:r>
              <w:rPr/>
              <w:t>$     -</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rPr/>
            </w:pPr>
            <w:r>
              <w:rPr/>
              <w:t>Class A2-L</w:t>
            </w:r>
          </w:p>
        </w:tc>
        <w:tc>
          <w:tcPr>
            <w:tcW w:w="1484" w:type="dxa"/>
            <w:tcBorders>
              <w:top w:val="single" w:sz="4" w:space="0" w:color="000000"/>
              <w:start w:val="single" w:sz="4" w:space="0" w:color="000000"/>
              <w:bottom w:val="single" w:sz="4" w:space="0" w:color="000000"/>
              <w:end w:val="single" w:sz="4" w:space="0" w:color="000000"/>
            </w:tcBorders>
          </w:tcPr>
          <w:p>
            <w:pPr>
              <w:pStyle w:val="Normal"/>
              <w:jc w:val="end"/>
              <w:rPr/>
            </w:pPr>
            <w:r>
              <w:rPr/>
              <w:t>55.0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Floating</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479" w:type="dxa"/>
            <w:tcBorders>
              <w:top w:val="single" w:sz="4" w:space="0" w:color="000000"/>
              <w:start w:val="single" w:sz="4" w:space="0" w:color="000000"/>
              <w:bottom w:val="single" w:sz="4" w:space="0" w:color="000000"/>
              <w:end w:val="single" w:sz="4" w:space="0" w:color="000000"/>
            </w:tcBorders>
          </w:tcPr>
          <w:p>
            <w:pPr>
              <w:pStyle w:val="Normal"/>
              <w:jc w:val="center"/>
              <w:rPr/>
            </w:pPr>
            <w:r>
              <w:rPr/>
              <w:t>AAA</w:t>
            </w:r>
          </w:p>
        </w:tc>
        <w:tc>
          <w:tcPr>
            <w:tcW w:w="1390" w:type="dxa"/>
            <w:tcBorders>
              <w:top w:val="single" w:sz="4" w:space="0" w:color="000000"/>
              <w:start w:val="single" w:sz="4" w:space="0" w:color="000000"/>
              <w:bottom w:val="single" w:sz="4" w:space="0" w:color="000000"/>
              <w:end w:val="single" w:sz="4" w:space="0" w:color="000000"/>
            </w:tcBorders>
          </w:tcPr>
          <w:p>
            <w:pPr>
              <w:pStyle w:val="Normal"/>
              <w:jc w:val="end"/>
              <w:rPr/>
            </w:pPr>
            <w:r>
              <w:rPr/>
              <w:t>15.3</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rPr/>
            </w:pPr>
            <w:r>
              <w:rPr/>
              <w:t>Class A2</w:t>
            </w:r>
          </w:p>
        </w:tc>
        <w:tc>
          <w:tcPr>
            <w:tcW w:w="1484" w:type="dxa"/>
            <w:tcBorders>
              <w:top w:val="single" w:sz="4" w:space="0" w:color="000000"/>
              <w:start w:val="single" w:sz="4" w:space="0" w:color="000000"/>
              <w:bottom w:val="single" w:sz="4" w:space="0" w:color="000000"/>
              <w:end w:val="single" w:sz="4" w:space="0" w:color="000000"/>
            </w:tcBorders>
          </w:tcPr>
          <w:p>
            <w:pPr>
              <w:pStyle w:val="Normal"/>
              <w:jc w:val="end"/>
              <w:rPr/>
            </w:pPr>
            <w:r>
              <w:rPr/>
              <w:t>32.8</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8.13%</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479" w:type="dxa"/>
            <w:tcBorders>
              <w:top w:val="single" w:sz="4" w:space="0" w:color="000000"/>
              <w:start w:val="single" w:sz="4" w:space="0" w:color="000000"/>
              <w:bottom w:val="single" w:sz="4" w:space="0" w:color="000000"/>
              <w:end w:val="single" w:sz="4" w:space="0" w:color="000000"/>
            </w:tcBorders>
          </w:tcPr>
          <w:p>
            <w:pPr>
              <w:pStyle w:val="Normal"/>
              <w:jc w:val="center"/>
              <w:rPr/>
            </w:pPr>
            <w:r>
              <w:rPr/>
              <w:t>AAA</w:t>
            </w:r>
          </w:p>
        </w:tc>
        <w:tc>
          <w:tcPr>
            <w:tcW w:w="1390" w:type="dxa"/>
            <w:tcBorders>
              <w:top w:val="single" w:sz="4" w:space="0" w:color="000000"/>
              <w:start w:val="single" w:sz="4" w:space="0" w:color="000000"/>
              <w:bottom w:val="single" w:sz="4" w:space="0" w:color="000000"/>
              <w:end w:val="single" w:sz="4" w:space="0" w:color="000000"/>
            </w:tcBorders>
          </w:tcPr>
          <w:p>
            <w:pPr>
              <w:pStyle w:val="Normal"/>
              <w:jc w:val="end"/>
              <w:rPr/>
            </w:pPr>
            <w:r>
              <w:rPr/>
              <w:t>9.1</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rPr/>
            </w:pPr>
            <w:r>
              <w:rPr/>
              <w:t>Class A3-L</w:t>
            </w:r>
          </w:p>
        </w:tc>
        <w:tc>
          <w:tcPr>
            <w:tcW w:w="1484" w:type="dxa"/>
            <w:tcBorders>
              <w:top w:val="single" w:sz="4" w:space="0" w:color="000000"/>
              <w:start w:val="single" w:sz="4" w:space="0" w:color="000000"/>
              <w:bottom w:val="single" w:sz="4" w:space="0" w:color="000000"/>
              <w:end w:val="single" w:sz="4" w:space="0" w:color="000000"/>
            </w:tcBorders>
          </w:tcPr>
          <w:p>
            <w:pPr>
              <w:pStyle w:val="Normal"/>
              <w:jc w:val="end"/>
              <w:rPr/>
            </w:pPr>
            <w:r>
              <w:rPr/>
              <w:t>48.2</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Floating</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479" w:type="dxa"/>
            <w:tcBorders>
              <w:top w:val="single" w:sz="4" w:space="0" w:color="000000"/>
              <w:start w:val="single" w:sz="4" w:space="0" w:color="000000"/>
              <w:bottom w:val="single" w:sz="4" w:space="0" w:color="000000"/>
              <w:end w:val="single" w:sz="4" w:space="0" w:color="000000"/>
            </w:tcBorders>
          </w:tcPr>
          <w:p>
            <w:pPr>
              <w:pStyle w:val="Normal"/>
              <w:jc w:val="center"/>
              <w:rPr/>
            </w:pPr>
            <w:r>
              <w:rPr/>
              <w:t>AA+</w:t>
            </w:r>
          </w:p>
        </w:tc>
        <w:tc>
          <w:tcPr>
            <w:tcW w:w="1390" w:type="dxa"/>
            <w:tcBorders>
              <w:top w:val="single" w:sz="4" w:space="0" w:color="000000"/>
              <w:start w:val="single" w:sz="4" w:space="0" w:color="000000"/>
              <w:bottom w:val="single" w:sz="4" w:space="0" w:color="000000"/>
              <w:end w:val="single" w:sz="4" w:space="0" w:color="000000"/>
            </w:tcBorders>
          </w:tcPr>
          <w:p>
            <w:pPr>
              <w:pStyle w:val="Normal"/>
              <w:jc w:val="end"/>
              <w:rPr/>
            </w:pPr>
            <w:r>
              <w:rPr/>
              <w:t>48.2</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rPr/>
            </w:pPr>
            <w:r>
              <w:rPr/>
              <w:t>Class A3</w:t>
            </w:r>
          </w:p>
        </w:tc>
        <w:tc>
          <w:tcPr>
            <w:tcW w:w="1484" w:type="dxa"/>
            <w:tcBorders>
              <w:top w:val="single" w:sz="4" w:space="0" w:color="000000"/>
              <w:start w:val="single" w:sz="4" w:space="0" w:color="000000"/>
              <w:bottom w:val="single" w:sz="4" w:space="0" w:color="000000"/>
              <w:end w:val="single" w:sz="4" w:space="0" w:color="000000"/>
            </w:tcBorders>
          </w:tcPr>
          <w:p>
            <w:pPr>
              <w:pStyle w:val="Normal"/>
              <w:jc w:val="end"/>
              <w:rPr/>
            </w:pPr>
            <w:r>
              <w:rPr/>
              <w:t>10.0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8.64%</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479" w:type="dxa"/>
            <w:tcBorders>
              <w:top w:val="single" w:sz="4" w:space="0" w:color="000000"/>
              <w:start w:val="single" w:sz="4" w:space="0" w:color="000000"/>
              <w:bottom w:val="single" w:sz="4" w:space="0" w:color="000000"/>
              <w:end w:val="single" w:sz="4" w:space="0" w:color="000000"/>
            </w:tcBorders>
          </w:tcPr>
          <w:p>
            <w:pPr>
              <w:pStyle w:val="Normal"/>
              <w:jc w:val="center"/>
              <w:rPr/>
            </w:pPr>
            <w:r>
              <w:rPr/>
              <w:t>AA+</w:t>
            </w:r>
          </w:p>
        </w:tc>
        <w:tc>
          <w:tcPr>
            <w:tcW w:w="1390" w:type="dxa"/>
            <w:tcBorders>
              <w:top w:val="single" w:sz="4" w:space="0" w:color="000000"/>
              <w:start w:val="single" w:sz="4" w:space="0" w:color="000000"/>
              <w:bottom w:val="single" w:sz="4" w:space="0" w:color="000000"/>
              <w:end w:val="single" w:sz="4" w:space="0" w:color="000000"/>
            </w:tcBorders>
          </w:tcPr>
          <w:p>
            <w:pPr>
              <w:pStyle w:val="Normal"/>
              <w:jc w:val="end"/>
              <w:rPr/>
            </w:pPr>
            <w:r>
              <w:rPr/>
              <w:t>10.0</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rPr/>
            </w:pPr>
            <w:r>
              <w:rPr/>
              <w:t>Class A4</w:t>
            </w:r>
          </w:p>
        </w:tc>
        <w:tc>
          <w:tcPr>
            <w:tcW w:w="1484" w:type="dxa"/>
            <w:tcBorders>
              <w:top w:val="single" w:sz="4" w:space="0" w:color="000000"/>
              <w:start w:val="single" w:sz="4" w:space="0" w:color="000000"/>
              <w:bottom w:val="single" w:sz="4" w:space="0" w:color="000000"/>
              <w:end w:val="single" w:sz="4" w:space="0" w:color="000000"/>
            </w:tcBorders>
          </w:tcPr>
          <w:p>
            <w:pPr>
              <w:pStyle w:val="Normal"/>
              <w:jc w:val="end"/>
              <w:rPr/>
            </w:pPr>
            <w:r>
              <w:rPr/>
              <w:t>14.5</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9.19%</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479"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1390" w:type="dxa"/>
            <w:tcBorders>
              <w:top w:val="single" w:sz="4" w:space="0" w:color="000000"/>
              <w:start w:val="single" w:sz="4" w:space="0" w:color="000000"/>
              <w:bottom w:val="single" w:sz="4" w:space="0" w:color="000000"/>
              <w:end w:val="single" w:sz="4" w:space="0" w:color="000000"/>
            </w:tcBorders>
          </w:tcPr>
          <w:p>
            <w:pPr>
              <w:pStyle w:val="Normal"/>
              <w:jc w:val="end"/>
              <w:rPr/>
            </w:pPr>
            <w:r>
              <w:rPr/>
              <w:t>14.5</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rPr/>
            </w:pPr>
            <w:r>
              <w:rPr/>
              <w:t>Class B1</w:t>
            </w:r>
          </w:p>
        </w:tc>
        <w:tc>
          <w:tcPr>
            <w:tcW w:w="1484" w:type="dxa"/>
            <w:tcBorders>
              <w:top w:val="single" w:sz="4" w:space="0" w:color="000000"/>
              <w:start w:val="single" w:sz="4" w:space="0" w:color="000000"/>
              <w:bottom w:val="single" w:sz="4" w:space="0" w:color="000000"/>
              <w:end w:val="single" w:sz="4" w:space="0" w:color="000000"/>
            </w:tcBorders>
          </w:tcPr>
          <w:p>
            <w:pPr>
              <w:pStyle w:val="Normal"/>
              <w:jc w:val="end"/>
              <w:rPr/>
            </w:pPr>
            <w:r>
              <w:rPr/>
              <w:t>9.1</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11.21%</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479" w:type="dxa"/>
            <w:tcBorders>
              <w:top w:val="single" w:sz="4" w:space="0" w:color="000000"/>
              <w:start w:val="single" w:sz="4" w:space="0" w:color="000000"/>
              <w:bottom w:val="single" w:sz="4" w:space="0" w:color="000000"/>
              <w:end w:val="single" w:sz="4" w:space="0" w:color="000000"/>
            </w:tcBorders>
          </w:tcPr>
          <w:p>
            <w:pPr>
              <w:pStyle w:val="Normal"/>
              <w:jc w:val="center"/>
              <w:rPr/>
            </w:pPr>
            <w:r>
              <w:rPr/>
              <w:t>BBB</w:t>
            </w:r>
          </w:p>
        </w:tc>
        <w:tc>
          <w:tcPr>
            <w:tcW w:w="1390" w:type="dxa"/>
            <w:tcBorders>
              <w:top w:val="single" w:sz="4" w:space="0" w:color="000000"/>
              <w:start w:val="single" w:sz="4" w:space="0" w:color="000000"/>
              <w:bottom w:val="single" w:sz="4" w:space="0" w:color="000000"/>
              <w:end w:val="single" w:sz="4" w:space="0" w:color="000000"/>
            </w:tcBorders>
          </w:tcPr>
          <w:p>
            <w:pPr>
              <w:pStyle w:val="Normal"/>
              <w:jc w:val="end"/>
              <w:rPr/>
            </w:pPr>
            <w:r>
              <w:rPr/>
              <w:t>6.2</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rPr/>
            </w:pPr>
            <w:r>
              <w:rPr/>
              <w:t>Class B2</w:t>
            </w:r>
          </w:p>
        </w:tc>
        <w:tc>
          <w:tcPr>
            <w:tcW w:w="1484" w:type="dxa"/>
            <w:tcBorders>
              <w:top w:val="single" w:sz="4" w:space="0" w:color="000000"/>
              <w:start w:val="single" w:sz="4" w:space="0" w:color="000000"/>
              <w:bottom w:val="single" w:sz="4" w:space="0" w:color="000000"/>
              <w:end w:val="single" w:sz="4" w:space="0" w:color="000000"/>
            </w:tcBorders>
          </w:tcPr>
          <w:p>
            <w:pPr>
              <w:pStyle w:val="Normal"/>
              <w:jc w:val="end"/>
              <w:rPr/>
            </w:pPr>
            <w:r>
              <w:rPr/>
              <w:t>40.2</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14.21%</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479" w:type="dxa"/>
            <w:tcBorders>
              <w:top w:val="single" w:sz="4" w:space="0" w:color="000000"/>
              <w:start w:val="single" w:sz="4" w:space="0" w:color="000000"/>
              <w:bottom w:val="single" w:sz="4" w:space="0" w:color="000000"/>
              <w:end w:val="single" w:sz="4" w:space="0" w:color="000000"/>
            </w:tcBorders>
          </w:tcPr>
          <w:p>
            <w:pPr>
              <w:pStyle w:val="Normal"/>
              <w:jc w:val="center"/>
              <w:rPr/>
            </w:pPr>
            <w:r>
              <w:rPr/>
              <w:t>BB</w:t>
            </w:r>
          </w:p>
        </w:tc>
        <w:tc>
          <w:tcPr>
            <w:tcW w:w="1390" w:type="dxa"/>
            <w:tcBorders>
              <w:top w:val="single" w:sz="4" w:space="0" w:color="000000"/>
              <w:start w:val="single" w:sz="4" w:space="0" w:color="000000"/>
              <w:bottom w:val="single" w:sz="4" w:space="0" w:color="000000"/>
              <w:end w:val="single" w:sz="4" w:space="0" w:color="000000"/>
            </w:tcBorders>
          </w:tcPr>
          <w:p>
            <w:pPr>
              <w:pStyle w:val="Normal"/>
              <w:jc w:val="end"/>
              <w:rPr/>
            </w:pPr>
            <w:r>
              <w:rPr/>
              <w:t>40.2</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84" w:type="dxa"/>
            <w:tcBorders>
              <w:top w:val="single" w:sz="4" w:space="0" w:color="000000"/>
              <w:start w:val="single" w:sz="4" w:space="0" w:color="000000"/>
              <w:bottom w:val="single" w:sz="4" w:space="0" w:color="000000"/>
              <w:end w:val="single" w:sz="4" w:space="0" w:color="000000"/>
            </w:tcBorders>
          </w:tcPr>
          <w:p>
            <w:pPr>
              <w:pStyle w:val="Normal"/>
              <w:jc w:val="end"/>
              <w:rPr/>
            </w:pPr>
            <w:r>
              <w:rPr/>
              <w:t>$311.3</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90" w:type="dxa"/>
            <w:tcBorders>
              <w:top w:val="single" w:sz="4" w:space="0" w:color="000000"/>
              <w:start w:val="single" w:sz="4" w:space="0" w:color="000000"/>
              <w:bottom w:val="single" w:sz="4" w:space="0" w:color="000000"/>
              <w:end w:val="single" w:sz="4" w:space="0" w:color="000000"/>
            </w:tcBorders>
          </w:tcPr>
          <w:p>
            <w:pPr>
              <w:pStyle w:val="Normal"/>
              <w:jc w:val="end"/>
              <w:rPr/>
            </w:pPr>
            <w:r>
              <w:rPr/>
              <w:t>$143.5</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rPr/>
            </w:pPr>
            <w:r>
              <w:rPr/>
              <w:t>Equity</w:t>
            </w:r>
          </w:p>
        </w:tc>
        <w:tc>
          <w:tcPr>
            <w:tcW w:w="1484" w:type="dxa"/>
            <w:tcBorders>
              <w:top w:val="single" w:sz="4" w:space="0" w:color="000000"/>
              <w:start w:val="single" w:sz="4" w:space="0" w:color="000000"/>
              <w:bottom w:val="single" w:sz="4" w:space="0" w:color="000000"/>
              <w:end w:val="single" w:sz="4" w:space="0" w:color="000000"/>
            </w:tcBorders>
          </w:tcPr>
          <w:p>
            <w:pPr>
              <w:pStyle w:val="Normal"/>
              <w:jc w:val="end"/>
              <w:rPr/>
            </w:pPr>
            <w:r>
              <w:rPr/>
              <w:t>12.9</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479"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390" w:type="dxa"/>
            <w:tcBorders>
              <w:top w:val="single" w:sz="4" w:space="0" w:color="000000"/>
              <w:start w:val="single" w:sz="4" w:space="0" w:color="000000"/>
              <w:bottom w:val="single" w:sz="4" w:space="0" w:color="000000"/>
              <w:end w:val="single" w:sz="4" w:space="0" w:color="000000"/>
            </w:tcBorders>
          </w:tcPr>
          <w:p>
            <w:pPr>
              <w:pStyle w:val="Normal"/>
              <w:jc w:val="end"/>
              <w:rPr/>
            </w:pPr>
            <w:r>
              <w:rPr/>
              <w:t>12.9</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84" w:type="dxa"/>
            <w:tcBorders>
              <w:top w:val="single" w:sz="4" w:space="0" w:color="000000"/>
              <w:start w:val="single" w:sz="4" w:space="0" w:color="000000"/>
              <w:bottom w:val="single" w:sz="4" w:space="0" w:color="000000"/>
              <w:end w:val="single" w:sz="4" w:space="0" w:color="000000"/>
            </w:tcBorders>
          </w:tcPr>
          <w:p>
            <w:pPr>
              <w:pStyle w:val="Normal"/>
              <w:jc w:val="end"/>
              <w:rPr/>
            </w:pPr>
            <w:r>
              <w:rPr/>
              <w:t>$324.2</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90" w:type="dxa"/>
            <w:tcBorders>
              <w:top w:val="single" w:sz="4" w:space="0" w:color="000000"/>
              <w:start w:val="single" w:sz="4" w:space="0" w:color="000000"/>
              <w:bottom w:val="single" w:sz="4" w:space="0" w:color="000000"/>
              <w:end w:val="single" w:sz="4" w:space="0" w:color="000000"/>
            </w:tcBorders>
          </w:tcPr>
          <w:p>
            <w:pPr>
              <w:pStyle w:val="Normal"/>
              <w:jc w:val="end"/>
              <w:rPr/>
            </w:pPr>
            <w:r>
              <w:rPr/>
              <w:t>$156.4</w:t>
            </w:r>
          </w:p>
        </w:tc>
      </w:tr>
    </w:tbl>
    <w:p>
      <w:pPr>
        <w:pStyle w:val="Heading2"/>
        <w:ind w:hanging="0" w:start="0"/>
        <w:rPr/>
      </w:pPr>
      <w:r>
        <w:rPr/>
      </w:r>
    </w:p>
    <w:p>
      <w:pPr>
        <w:pStyle w:val="Heading2"/>
        <w:ind w:hanging="0" w:start="0"/>
        <w:rPr/>
      </w:pPr>
      <w:r>
        <w:rPr/>
        <w:t>Default Occurrences</w:t>
      </w:r>
    </w:p>
    <w:p>
      <w:pPr>
        <w:pStyle w:val="Normal"/>
        <w:rPr/>
      </w:pPr>
      <w:r>
        <w:rPr/>
        <w:t>Within the first six months (and prior to the first scheduled payment date under the CLO structure), five defaults are reported representing 28.3% of the entire principal balance of the outstanding portfolio.  At issue here was the number and timing of the defaults.  These defaults, as well as other portfolio milestones, are outlined as follows:</w:t>
      </w:r>
    </w:p>
    <w:p>
      <w:pPr>
        <w:pStyle w:val="Normal"/>
        <w:rPr/>
      </w:pPr>
      <w:r>
        <w:rPr/>
      </w:r>
    </w:p>
    <w:p>
      <w:pPr>
        <w:pStyle w:val="Heading2"/>
        <w:ind w:hanging="0" w:start="0"/>
        <w:rPr/>
      </w:pPr>
      <w:r>
        <w:rPr/>
        <w:t>January 2000</w:t>
      </w:r>
    </w:p>
    <w:p>
      <w:pPr>
        <w:pStyle w:val="Normal"/>
        <w:numPr>
          <w:ilvl w:val="0"/>
          <w:numId w:val="10"/>
        </w:numPr>
        <w:rPr/>
      </w:pPr>
      <w:r>
        <w:rPr>
          <w:b/>
          <w:bCs/>
        </w:rPr>
        <w:t>Cline Resources (Panther)</w:t>
      </w:r>
      <w:r>
        <w:rPr/>
        <w:t xml:space="preserve"> - waiver of principal payments from 12/31/99 to 9/30/00.</w:t>
      </w:r>
    </w:p>
    <w:p>
      <w:pPr>
        <w:pStyle w:val="Normal"/>
        <w:numPr>
          <w:ilvl w:val="0"/>
          <w:numId w:val="10"/>
        </w:numPr>
        <w:rPr/>
      </w:pPr>
      <w:r>
        <w:rPr>
          <w:b/>
          <w:bCs/>
        </w:rPr>
        <w:t>CanFibre of Riverside</w:t>
      </w:r>
      <w:r>
        <w:rPr/>
        <w:t xml:space="preserve"> - payment default.  CanFibre of Riverside represents 9.1% of total portfolio at closing. (payment was received in February).</w:t>
      </w:r>
    </w:p>
    <w:p>
      <w:pPr>
        <w:pStyle w:val="Normal"/>
        <w:rPr/>
      </w:pPr>
      <w:r>
        <w:rPr/>
      </w:r>
    </w:p>
    <w:p>
      <w:pPr>
        <w:pStyle w:val="Heading2"/>
        <w:ind w:hanging="0" w:start="0"/>
        <w:rPr/>
      </w:pPr>
      <w:r>
        <w:rPr/>
        <w:t>February 2000</w:t>
      </w:r>
    </w:p>
    <w:p>
      <w:pPr>
        <w:pStyle w:val="Normal"/>
        <w:numPr>
          <w:ilvl w:val="0"/>
          <w:numId w:val="7"/>
        </w:numPr>
        <w:rPr/>
      </w:pPr>
      <w:r>
        <w:rPr>
          <w:b/>
          <w:bCs/>
        </w:rPr>
        <w:t>Transcoastal</w:t>
      </w:r>
      <w:r>
        <w:rPr/>
        <w:t xml:space="preserve"> - reported as a Defaulted Portfolio Asset due to company’s inability to raise equity required.  Transcoastal is 5.7% of total at closing.</w:t>
      </w:r>
    </w:p>
    <w:p>
      <w:pPr>
        <w:pStyle w:val="Normal"/>
        <w:numPr>
          <w:ilvl w:val="0"/>
          <w:numId w:val="7"/>
        </w:numPr>
        <w:rPr/>
      </w:pPr>
      <w:r>
        <w:rPr>
          <w:b/>
          <w:bCs/>
        </w:rPr>
        <w:t>Sierra -</w:t>
      </w:r>
      <w:r>
        <w:rPr/>
        <w:t xml:space="preserve"> requests a rescheduling of a portion of scheduled principal and interest payments.  Sierra is the largest asset in the CLO representing 14.2% of the portfolio total.</w:t>
      </w:r>
    </w:p>
    <w:p>
      <w:pPr>
        <w:pStyle w:val="Normal"/>
        <w:rPr/>
      </w:pPr>
      <w:r>
        <w:rPr/>
      </w:r>
    </w:p>
    <w:p>
      <w:pPr>
        <w:pStyle w:val="Heading2"/>
        <w:ind w:hanging="0" w:start="0"/>
        <w:rPr/>
      </w:pPr>
      <w:r>
        <w:rPr/>
        <w:t>March 2000</w:t>
      </w:r>
    </w:p>
    <w:p>
      <w:pPr>
        <w:pStyle w:val="Normal"/>
        <w:numPr>
          <w:ilvl w:val="0"/>
          <w:numId w:val="8"/>
        </w:numPr>
        <w:rPr/>
      </w:pPr>
      <w:r>
        <w:rPr>
          <w:b/>
          <w:bCs/>
        </w:rPr>
        <w:t>Transcoastal</w:t>
      </w:r>
      <w:r>
        <w:rPr/>
        <w:t xml:space="preserve"> - goes into payment default.</w:t>
      </w:r>
    </w:p>
    <w:p>
      <w:pPr>
        <w:pStyle w:val="Normal"/>
        <w:numPr>
          <w:ilvl w:val="0"/>
          <w:numId w:val="8"/>
        </w:numPr>
        <w:rPr/>
      </w:pPr>
      <w:r>
        <w:rPr>
          <w:b/>
          <w:bCs/>
        </w:rPr>
        <w:t>LSI</w:t>
      </w:r>
      <w:r>
        <w:rPr/>
        <w:t xml:space="preserve"> - is reported as a Defaulted Portfolio Asset due to payment default. (Default cured in April as ENA provides a short-term liquidity facility).</w:t>
      </w:r>
    </w:p>
    <w:p>
      <w:pPr>
        <w:pStyle w:val="Normal"/>
        <w:rPr/>
      </w:pPr>
      <w:r>
        <w:rPr/>
      </w:r>
    </w:p>
    <w:p>
      <w:pPr>
        <w:pStyle w:val="Heading2"/>
        <w:ind w:hanging="0" w:start="0"/>
        <w:rPr/>
      </w:pPr>
      <w:r>
        <w:rPr/>
        <w:t>April 2000</w:t>
      </w:r>
    </w:p>
    <w:p>
      <w:pPr>
        <w:pStyle w:val="Normal"/>
        <w:numPr>
          <w:ilvl w:val="0"/>
          <w:numId w:val="9"/>
        </w:numPr>
        <w:rPr/>
      </w:pPr>
      <w:r>
        <w:rPr>
          <w:b/>
          <w:bCs/>
        </w:rPr>
        <w:t>Transcoastal</w:t>
      </w:r>
      <w:r>
        <w:rPr/>
        <w:t xml:space="preserve"> - files Chapter 11 Bankruptcy.</w:t>
      </w:r>
    </w:p>
    <w:p>
      <w:pPr>
        <w:pStyle w:val="Normal"/>
        <w:rPr/>
      </w:pPr>
      <w:r>
        <w:rPr/>
      </w:r>
    </w:p>
    <w:p>
      <w:pPr>
        <w:pStyle w:val="Heading2"/>
        <w:ind w:hanging="0" w:start="0"/>
        <w:rPr/>
      </w:pPr>
      <w:r>
        <w:rPr/>
        <w:t>May 2000</w:t>
      </w:r>
    </w:p>
    <w:p>
      <w:pPr>
        <w:pStyle w:val="Normal"/>
        <w:numPr>
          <w:ilvl w:val="0"/>
          <w:numId w:val="9"/>
        </w:numPr>
        <w:rPr/>
      </w:pPr>
      <w:r>
        <w:rPr>
          <w:b/>
          <w:bCs/>
        </w:rPr>
        <w:t>Beau Canada</w:t>
      </w:r>
      <w:r>
        <w:rPr/>
        <w:t xml:space="preserve"> - facility is restructured due to liquidity difficulties.  The maturity is extended.  </w:t>
      </w:r>
    </w:p>
    <w:p>
      <w:pPr>
        <w:pStyle w:val="Normal"/>
        <w:numPr>
          <w:ilvl w:val="0"/>
          <w:numId w:val="9"/>
        </w:numPr>
        <w:rPr/>
      </w:pPr>
      <w:r>
        <w:rPr>
          <w:b/>
          <w:bCs/>
        </w:rPr>
        <w:t>Kafus</w:t>
      </w:r>
      <w:r>
        <w:rPr/>
        <w:t xml:space="preserve"> - ECTMI loans $1MM to Kafus Industries for short-term liquidity needs of Kafus and subsidiaries.</w:t>
      </w:r>
    </w:p>
    <w:p>
      <w:pPr>
        <w:pStyle w:val="Normal"/>
        <w:numPr>
          <w:ilvl w:val="0"/>
          <w:numId w:val="9"/>
        </w:numPr>
        <w:rPr/>
      </w:pPr>
      <w:r>
        <w:rPr>
          <w:b/>
          <w:bCs/>
        </w:rPr>
        <w:t>Ridgelake</w:t>
      </w:r>
      <w:r>
        <w:rPr/>
        <w:t xml:space="preserve">  - repays facility in total.</w:t>
      </w:r>
    </w:p>
    <w:p>
      <w:pPr>
        <w:pStyle w:val="Normal"/>
        <w:rPr/>
      </w:pPr>
      <w:r>
        <w:rPr/>
      </w:r>
    </w:p>
    <w:p>
      <w:pPr>
        <w:pStyle w:val="Heading2"/>
        <w:ind w:hanging="0" w:start="0"/>
        <w:rPr/>
      </w:pPr>
      <w:r>
        <w:rPr/>
        <w:t>June 2000</w:t>
      </w:r>
    </w:p>
    <w:p>
      <w:pPr>
        <w:pStyle w:val="Normal"/>
        <w:numPr>
          <w:ilvl w:val="0"/>
          <w:numId w:val="3"/>
        </w:numPr>
        <w:rPr/>
      </w:pPr>
      <w:r>
        <w:rPr>
          <w:b/>
          <w:bCs/>
        </w:rPr>
        <w:t>Sierra Well’s -</w:t>
      </w:r>
      <w:r>
        <w:rPr/>
        <w:t xml:space="preserve"> IPO fails, they default on interest payments and become a Defaulted Portfolio Asset.</w:t>
      </w:r>
    </w:p>
    <w:p>
      <w:pPr>
        <w:pStyle w:val="Normal"/>
        <w:numPr>
          <w:ilvl w:val="0"/>
          <w:numId w:val="3"/>
        </w:numPr>
        <w:rPr/>
      </w:pPr>
      <w:r>
        <w:rPr>
          <w:b/>
          <w:bCs/>
        </w:rPr>
        <w:t>Heartland Steel</w:t>
      </w:r>
      <w:r>
        <w:rPr/>
        <w:t xml:space="preserve">  - is in technical default and reports liquidity problems.</w:t>
      </w:r>
    </w:p>
    <w:p>
      <w:pPr>
        <w:pStyle w:val="Normal"/>
        <w:rPr/>
      </w:pPr>
      <w:r>
        <w:rPr/>
      </w:r>
    </w:p>
    <w:p>
      <w:pPr>
        <w:pStyle w:val="Heading2"/>
        <w:ind w:hanging="0" w:start="0"/>
        <w:rPr/>
      </w:pPr>
      <w:r>
        <w:rPr/>
        <w:t xml:space="preserve">July 2000 - First Scheduled Payment Date </w:t>
      </w:r>
    </w:p>
    <w:p>
      <w:pPr>
        <w:pStyle w:val="Normal"/>
        <w:rPr/>
      </w:pPr>
      <w:r>
        <w:rPr/>
        <w:t>On July 17, 2000, the first Payment Date, the Class B-1 Notes (rated BBB by Fitch) did not receive the scheduled interest payment.  The structure provides the higher rated notes with overcollateralization protection which prohibits payments to the lower rated tranches in the event these overcollateralization tests are not met.  As of the first payment date, the funds provided by portfolio company payments were not sufficient to pass the required overcollateralization ratios.  As a result, all available dollars were applied to principal reductions on the higher rated notes.</w:t>
      </w:r>
    </w:p>
    <w:p>
      <w:pPr>
        <w:pStyle w:val="Normal"/>
        <w:rPr/>
      </w:pPr>
      <w:r>
        <w:rPr/>
      </w:r>
    </w:p>
    <w:p>
      <w:pPr>
        <w:pStyle w:val="Heading2"/>
        <w:ind w:hanging="0" w:start="0"/>
        <w:rPr/>
      </w:pPr>
      <w:r>
        <w:rPr/>
        <w:t>Investor and Rating Agency Reaction</w:t>
      </w:r>
    </w:p>
    <w:p>
      <w:pPr>
        <w:pStyle w:val="Normal"/>
        <w:rPr/>
      </w:pPr>
      <w:r>
        <w:rPr/>
        <w:t xml:space="preserve">In July 2000, Investors raised the issue of fraudulent disclosure stating that the inability of a portfolio to adequately service the first payment in full was </w:t>
      </w:r>
      <w:r>
        <w:rPr>
          <w:i/>
          <w:iCs/>
        </w:rPr>
        <w:t>unprecedented</w:t>
      </w:r>
      <w:r>
        <w:rPr/>
        <w:t xml:space="preserve"> in the CLO market.   These concerns were conveyed by the investors to the rating agencies which called into question ENA’s knowledge of the weaknesses in the investments at the origination of the transaction.  ENA representatives from Enron Corp. and ENA’s Commercial Transaction Group (charged with servicing the assets sold to the Trust) met with the rating agencies to make it clear that they had no prior knowledge that the portfolio companies would experience difficulties in meeting their financial obligations.  A detailed review of each of the portfolio investments was provided to the agencies.  </w:t>
      </w:r>
    </w:p>
    <w:p>
      <w:pPr>
        <w:pStyle w:val="Normal"/>
        <w:rPr/>
      </w:pPr>
      <w:r>
        <w:rPr/>
      </w:r>
    </w:p>
    <w:p>
      <w:pPr>
        <w:pStyle w:val="Heading2"/>
        <w:ind w:hanging="0" w:start="0"/>
        <w:rPr/>
      </w:pPr>
      <w:r>
        <w:rPr/>
        <w:t>Put Agreement – ENA Credit Support</w:t>
      </w:r>
    </w:p>
    <w:p>
      <w:pPr>
        <w:pStyle w:val="Normal"/>
        <w:rPr/>
      </w:pPr>
      <w:r>
        <w:rPr/>
        <w:t xml:space="preserve">Based upon the information conveyed in the rating agency meeting, and due to the liquidity effects from the defaults experienced in the first six months of the transaction, Enron agreed to provide a form of credit support intended to result in assured recovery to ENA CLO on the Portfolio Assets.  Enron agreed to pay to ENA CLO up to $113MM in respect of existing and future Defaulted Portfolio Assets. The support was documented in September in the form of a Put.  Under the terms, Enron committed to purchase interests in respect of existing and future Defaulted Assets up to $113MM.  Upon the exercise of the Put Option, Enron purchases an interest in the Covered Asset equal to the amount funded by Enron under the Put Option.  Future recoveries on Covered Assets will be paid to Wilmington Trust and allocated between Enron and ENA CLO in accordance with their respective interests.  Payments under the Put will reduce the amount available under the Put and recoveries will increase the available amount.  </w:t>
      </w:r>
    </w:p>
    <w:p>
      <w:pPr>
        <w:pStyle w:val="Normal"/>
        <w:rPr/>
      </w:pPr>
      <w:r>
        <w:rPr/>
      </w:r>
    </w:p>
    <w:p>
      <w:pPr>
        <w:pStyle w:val="Normal"/>
        <w:rPr/>
      </w:pPr>
      <w:r>
        <w:rPr/>
        <w:t>So long as the Put is in place, the value assigned to each Defaulted Portfolio Asset for purposes of the overcollateralization tests will be increased by a pro rata portion.  As a result, all of the overcollateralization tests were met.</w:t>
      </w:r>
    </w:p>
    <w:p>
      <w:pPr>
        <w:pStyle w:val="Normal"/>
        <w:rPr/>
      </w:pPr>
      <w:r>
        <w:rPr/>
      </w:r>
    </w:p>
    <w:p>
      <w:pPr>
        <w:pStyle w:val="Normal"/>
        <w:rPr/>
      </w:pPr>
      <w:r>
        <w:rPr/>
        <w:t>The size of the credit support was designed to ensure that future overcollateraliztion tests would be met providing for current payments to each debt tranche.  Based upon ENA’s agreement to provide the credit support, the ratings of the notes were affirmed.  (Note: ENA represented that it expected four (Beau, Bonus, Cline Panther and HV Senior) credits would be paid off by year-end.</w:t>
      </w:r>
    </w:p>
    <w:p>
      <w:pPr>
        <w:pStyle w:val="Normal"/>
        <w:rPr/>
      </w:pPr>
      <w:r>
        <w:rPr/>
      </w:r>
    </w:p>
    <w:p>
      <w:pPr>
        <w:pStyle w:val="Heading2"/>
        <w:ind w:hanging="0" w:start="0"/>
        <w:rPr/>
      </w:pPr>
      <w:r>
        <w:rPr/>
        <w:t>July 2000</w:t>
      </w:r>
    </w:p>
    <w:p>
      <w:pPr>
        <w:pStyle w:val="Normal"/>
        <w:numPr>
          <w:ilvl w:val="0"/>
          <w:numId w:val="2"/>
        </w:numPr>
        <w:rPr/>
      </w:pPr>
      <w:r>
        <w:rPr>
          <w:b/>
          <w:bCs/>
        </w:rPr>
        <w:t>CanFibre of Riverside sub</w:t>
      </w:r>
      <w:r>
        <w:rPr/>
        <w:t xml:space="preserve"> - reported as a Defaulted Portfolio Asset due to a payment default of subordinated debt.</w:t>
      </w:r>
    </w:p>
    <w:p>
      <w:pPr>
        <w:pStyle w:val="Normal"/>
        <w:numPr>
          <w:ilvl w:val="0"/>
          <w:numId w:val="2"/>
        </w:numPr>
        <w:rPr/>
      </w:pPr>
      <w:r>
        <w:rPr>
          <w:b/>
          <w:bCs/>
        </w:rPr>
        <w:t>CanFibre of Riverside senior</w:t>
      </w:r>
      <w:r>
        <w:rPr/>
        <w:t xml:space="preserve"> - reported as Credit Risk Portfolio Asset due to liquidity constraints.</w:t>
      </w:r>
    </w:p>
    <w:p>
      <w:pPr>
        <w:pStyle w:val="Normal"/>
        <w:numPr>
          <w:ilvl w:val="0"/>
          <w:numId w:val="2"/>
        </w:numPr>
        <w:rPr/>
      </w:pPr>
      <w:r>
        <w:rPr>
          <w:b/>
          <w:bCs/>
        </w:rPr>
        <w:t>Kafus</w:t>
      </w:r>
      <w:r>
        <w:rPr/>
        <w:t xml:space="preserve"> - reported as Credit Risk Portfolio Asset due to liquidity constraints. </w:t>
      </w:r>
    </w:p>
    <w:p>
      <w:pPr>
        <w:pStyle w:val="Normal"/>
        <w:numPr>
          <w:ilvl w:val="0"/>
          <w:numId w:val="2"/>
        </w:numPr>
        <w:rPr>
          <w:b/>
          <w:bCs/>
        </w:rPr>
      </w:pPr>
      <w:r>
        <w:rPr>
          <w:b/>
          <w:bCs/>
        </w:rPr>
        <w:t>H.V. Marine –</w:t>
      </w:r>
      <w:r>
        <w:rPr/>
        <w:t xml:space="preserve"> repays its senior facility in full.</w:t>
      </w:r>
    </w:p>
    <w:p>
      <w:pPr>
        <w:pStyle w:val="Normal"/>
        <w:rPr>
          <w:b/>
          <w:bCs/>
        </w:rPr>
      </w:pPr>
      <w:r>
        <w:rPr>
          <w:b/>
          <w:bCs/>
        </w:rPr>
      </w:r>
    </w:p>
    <w:p>
      <w:pPr>
        <w:pStyle w:val="Heading2"/>
        <w:ind w:hanging="0" w:start="0"/>
        <w:rPr/>
      </w:pPr>
      <w:r>
        <w:rPr/>
        <w:t>August 2000</w:t>
      </w:r>
    </w:p>
    <w:p>
      <w:pPr>
        <w:pStyle w:val="Normal"/>
        <w:numPr>
          <w:ilvl w:val="0"/>
          <w:numId w:val="6"/>
        </w:numPr>
        <w:rPr/>
      </w:pPr>
      <w:r>
        <w:rPr>
          <w:b/>
          <w:bCs/>
        </w:rPr>
        <w:t xml:space="preserve">Kafus - </w:t>
      </w:r>
      <w:r>
        <w:rPr/>
        <w:t>files for a Receiving Order with the Supreme Court of British Columbia.</w:t>
      </w:r>
    </w:p>
    <w:p>
      <w:pPr>
        <w:pStyle w:val="Normal"/>
        <w:numPr>
          <w:ilvl w:val="0"/>
          <w:numId w:val="6"/>
        </w:numPr>
        <w:rPr/>
      </w:pPr>
      <w:r>
        <w:rPr>
          <w:b/>
          <w:bCs/>
        </w:rPr>
        <w:t>Heartland Steel</w:t>
      </w:r>
      <w:r>
        <w:rPr/>
        <w:t xml:space="preserve"> - reported as a Defaulted Portfolio Asset due to payment default.</w:t>
      </w:r>
    </w:p>
    <w:p>
      <w:pPr>
        <w:pStyle w:val="Normal"/>
        <w:rPr/>
      </w:pPr>
      <w:r>
        <w:rPr/>
      </w:r>
    </w:p>
    <w:p>
      <w:pPr>
        <w:pStyle w:val="Heading2"/>
        <w:ind w:hanging="0" w:start="0"/>
        <w:rPr/>
      </w:pPr>
      <w:r>
        <w:rPr/>
        <w:t>September 2000</w:t>
      </w:r>
    </w:p>
    <w:p>
      <w:pPr>
        <w:pStyle w:val="Normal"/>
        <w:numPr>
          <w:ilvl w:val="0"/>
          <w:numId w:val="4"/>
        </w:numPr>
        <w:rPr/>
      </w:pPr>
      <w:r>
        <w:rPr>
          <w:b/>
          <w:bCs/>
        </w:rPr>
        <w:t>LSI</w:t>
      </w:r>
      <w:r>
        <w:rPr/>
        <w:t xml:space="preserve"> - reported as a Defaulted Portfolio Asset due to payment default.</w:t>
      </w:r>
    </w:p>
    <w:p>
      <w:pPr>
        <w:pStyle w:val="Normal"/>
        <w:rPr/>
      </w:pPr>
      <w:r>
        <w:rPr/>
      </w:r>
    </w:p>
    <w:p>
      <w:pPr>
        <w:pStyle w:val="Heading2"/>
        <w:ind w:hanging="0" w:start="0"/>
        <w:rPr/>
      </w:pPr>
      <w:r>
        <w:rPr/>
        <w:t>October 2000</w:t>
      </w:r>
    </w:p>
    <w:p>
      <w:pPr>
        <w:pStyle w:val="Normal"/>
        <w:numPr>
          <w:ilvl w:val="0"/>
          <w:numId w:val="4"/>
        </w:numPr>
        <w:rPr/>
      </w:pPr>
      <w:r>
        <w:rPr>
          <w:b/>
          <w:bCs/>
        </w:rPr>
        <w:t>CanFibre of Riverside</w:t>
      </w:r>
      <w:r>
        <w:rPr/>
        <w:t xml:space="preserve"> - files for bankruptcy protection.  Both CanFibre of Riverside facilities are classified as Defaulted Portfolio Assets.</w:t>
      </w:r>
    </w:p>
    <w:p>
      <w:pPr>
        <w:pStyle w:val="Normal"/>
        <w:rPr/>
      </w:pPr>
      <w:r>
        <w:rPr/>
      </w:r>
    </w:p>
    <w:p>
      <w:pPr>
        <w:pStyle w:val="Heading2"/>
        <w:ind w:hanging="0" w:start="0"/>
        <w:rPr/>
      </w:pPr>
      <w:r>
        <w:rPr/>
        <w:t>November 2000</w:t>
      </w:r>
    </w:p>
    <w:p>
      <w:pPr>
        <w:pStyle w:val="Normal"/>
        <w:numPr>
          <w:ilvl w:val="0"/>
          <w:numId w:val="4"/>
        </w:numPr>
        <w:rPr/>
      </w:pPr>
      <w:r>
        <w:rPr>
          <w:b/>
          <w:bCs/>
        </w:rPr>
        <w:t>Beau Canada</w:t>
      </w:r>
      <w:r>
        <w:rPr/>
        <w:t xml:space="preserve"> - repays its facility in full.</w:t>
      </w:r>
    </w:p>
    <w:p>
      <w:pPr>
        <w:pStyle w:val="Normal"/>
        <w:rPr/>
      </w:pPr>
      <w:r>
        <w:rPr/>
      </w:r>
    </w:p>
    <w:p>
      <w:pPr>
        <w:pStyle w:val="Heading2"/>
        <w:ind w:hanging="0" w:start="0"/>
        <w:rPr/>
      </w:pPr>
      <w:r>
        <w:rPr/>
        <w:t>December 2000</w:t>
      </w:r>
    </w:p>
    <w:p>
      <w:pPr>
        <w:pStyle w:val="Normal"/>
        <w:numPr>
          <w:ilvl w:val="0"/>
          <w:numId w:val="4"/>
        </w:numPr>
        <w:rPr/>
      </w:pPr>
      <w:r>
        <w:rPr>
          <w:b/>
          <w:bCs/>
        </w:rPr>
        <w:t>LSI</w:t>
      </w:r>
      <w:r>
        <w:rPr/>
        <w:t xml:space="preserve"> - ENA CLO Holding sold the LSI loan to a new lender for approximately 64% of face value plus some receivables.</w:t>
      </w:r>
    </w:p>
    <w:p>
      <w:pPr>
        <w:pStyle w:val="Normal"/>
        <w:numPr>
          <w:ilvl w:val="0"/>
          <w:numId w:val="4"/>
        </w:numPr>
        <w:rPr/>
      </w:pPr>
      <w:r>
        <w:rPr>
          <w:b/>
          <w:bCs/>
        </w:rPr>
        <w:t xml:space="preserve">Sierra Well </w:t>
      </w:r>
      <w:r>
        <w:rPr/>
        <w:t xml:space="preserve">– The senior was sold to third party for at par plus some accrued interest.  The sub note was sold for approximately 36% of face.  </w:t>
      </w:r>
    </w:p>
    <w:p>
      <w:pPr>
        <w:pStyle w:val="Normal"/>
        <w:rPr/>
      </w:pPr>
      <w:r>
        <w:rPr/>
      </w:r>
    </w:p>
    <w:p>
      <w:pPr>
        <w:pStyle w:val="Heading2"/>
        <w:ind w:hanging="0" w:start="0"/>
        <w:rPr/>
      </w:pPr>
      <w:r>
        <w:rPr/>
        <w:t>January 2001</w:t>
      </w:r>
    </w:p>
    <w:p>
      <w:pPr>
        <w:pStyle w:val="Normal"/>
        <w:rPr/>
      </w:pPr>
      <w:r>
        <w:rPr/>
        <w:t>ENA CLO exercised the Put for the following covered assets and in the following amounts.  Payment was made on principal and interest for assets in default as of June 30, 2000 plus accrued interest on assets defaulted since June 30, 2000.</w:t>
      </w:r>
    </w:p>
    <w:p>
      <w:pPr>
        <w:pStyle w:val="Normal"/>
        <w:rPr/>
      </w:pPr>
      <w:r>
        <w:rPr/>
      </w:r>
    </w:p>
    <w:tbl>
      <w:tblPr>
        <w:tblW w:w="3888" w:type="dxa"/>
        <w:jc w:val="start"/>
        <w:tblInd w:w="0" w:type="dxa"/>
        <w:tblLayout w:type="fixed"/>
        <w:tblCellMar>
          <w:top w:w="0" w:type="dxa"/>
          <w:start w:w="108" w:type="dxa"/>
          <w:bottom w:w="0" w:type="dxa"/>
          <w:end w:w="108" w:type="dxa"/>
        </w:tblCellMar>
      </w:tblPr>
      <w:tblGrid>
        <w:gridCol w:w="2808"/>
        <w:gridCol w:w="1080"/>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CanFibre of Riverside sub</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$16.6</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Sierra Well senior</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2.4</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Sierra Well sub</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19.6</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Transcoastal</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23.5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Heartland Steel</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0.9</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LSI Interest</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0.2</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jc w:val="center"/>
              <w:rPr/>
            </w:pPr>
            <w:r>
              <w:rPr/>
              <w:t>Total</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63.1</w:t>
            </w:r>
          </w:p>
        </w:tc>
      </w:tr>
    </w:tbl>
    <w:p>
      <w:pPr>
        <w:pStyle w:val="Normal"/>
        <w:rPr/>
      </w:pPr>
      <w:r>
        <w:rPr/>
      </w:r>
    </w:p>
    <w:p>
      <w:pPr>
        <w:pStyle w:val="Normal"/>
        <w:rPr/>
      </w:pPr>
      <w:r>
        <w:rPr/>
        <w:t>The available amount under the Put was reduced to $49.9MM.  Enron has agreed to amend the Put for the next payment date to increase the amount of the Put by approximately $26.6MM for a total available amount of approximately $76.5MM, plus any future recoveries by Enron on the Covered Assets.  The size of the increase was required to meet ongoing overcollateralization tests.</w:t>
      </w:r>
    </w:p>
    <w:p>
      <w:pPr>
        <w:pStyle w:val="Normal"/>
        <w:rPr/>
      </w:pPr>
      <w:r>
        <w:rPr/>
      </w:r>
    </w:p>
    <w:p>
      <w:pPr>
        <w:pStyle w:val="Heading2"/>
        <w:ind w:hanging="0" w:start="0"/>
        <w:rPr/>
      </w:pPr>
      <w:r>
        <w:rPr/>
        <w:t>Expected Put payment in July 2001</w:t>
      </w:r>
    </w:p>
    <w:tbl>
      <w:tblPr>
        <w:tblW w:w="6408" w:type="dxa"/>
        <w:jc w:val="start"/>
        <w:tblInd w:w="0" w:type="dxa"/>
        <w:tblLayout w:type="fixed"/>
        <w:tblCellMar>
          <w:top w:w="0" w:type="dxa"/>
          <w:start w:w="108" w:type="dxa"/>
          <w:bottom w:w="0" w:type="dxa"/>
          <w:end w:w="108" w:type="dxa"/>
        </w:tblCellMar>
      </w:tblPr>
      <w:tblGrid>
        <w:gridCol w:w="3348"/>
        <w:gridCol w:w="1080"/>
        <w:gridCol w:w="198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t>CanFibre of Riverside Taxable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$25.0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accrued interest</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t>Heartland Steel</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15.0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accrued interest</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t>Kafus Industries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23.7</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accrued interest</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t>City Forest Senior</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accrued interest</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t>City Forest Junior</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accrued interest</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pPr>
            <w:r>
              <w:rPr/>
              <w:t>Total</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$63.7</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 accrued interest</w:t>
            </w:r>
          </w:p>
        </w:tc>
      </w:tr>
    </w:tbl>
    <w:p>
      <w:pPr>
        <w:pStyle w:val="Normal"/>
        <w:rPr/>
      </w:pPr>
      <w:r>
        <w:rPr/>
      </w:r>
    </w:p>
    <w:p>
      <w:pPr>
        <w:pStyle w:val="Heading2"/>
        <w:ind w:hanging="0" w:start="0"/>
        <w:rPr/>
      </w:pPr>
      <w:r>
        <w:rPr/>
        <w:t>February 2001</w:t>
      </w:r>
    </w:p>
    <w:p>
      <w:pPr>
        <w:pStyle w:val="Normal"/>
        <w:numPr>
          <w:ilvl w:val="0"/>
          <w:numId w:val="5"/>
        </w:numPr>
        <w:rPr/>
      </w:pPr>
      <w:r>
        <w:rPr>
          <w:b/>
          <w:bCs/>
        </w:rPr>
        <w:t>City Forest</w:t>
      </w:r>
      <w:r>
        <w:rPr/>
        <w:t xml:space="preserve">  - will be reported as a Defaulted Portfolio Asset due to non-payment of interest due.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2001-03-06T13:11:00Z</dcterms:created>
  <dc:creator>Sbalett</dc:creator>
  <dc:description/>
  <dc:language>en-CA</dc:language>
  <cp:lastModifiedBy>scasas</cp:lastModifiedBy>
  <cp:lastPrinted>2001-03-05T08:38:00Z</cp:lastPrinted>
  <dcterms:modified xsi:type="dcterms:W3CDTF">2001-03-06T19:05:00Z</dcterms:modified>
  <cp:revision>7</cp:revision>
  <dc:subject/>
  <dc:title>In mid 1999 a Bear Stearns was engaged to</dc:title>
</cp:coreProperties>
</file>