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June 24, 1999</w:t>
      </w:r>
    </w:p>
    <w:p>
      <w:pPr>
        <w:pStyle w:val="Normal"/>
        <w:widowControl/>
        <w:rPr>
          <w:sz w:val="22"/>
          <w:u w:val="single"/>
        </w:rPr>
      </w:pPr>
      <w:r>
        <w:rPr>
          <w:sz w:val="22"/>
          <w:u w:val="single"/>
        </w:rPr>
      </w:r>
    </w:p>
    <w:p>
      <w:pPr>
        <w:pStyle w:val="Normal"/>
        <w:widowControl/>
        <w:ind w:firstLine="720" w:end="0"/>
        <w:rPr>
          <w:sz w:val="22"/>
        </w:rPr>
      </w:pPr>
      <w:r>
        <w:rPr>
          <w:sz w:val="22"/>
        </w:rPr>
        <w:t>To:</w:t>
        <w:tab/>
        <w:tab/>
        <w:tab/>
        <w:tab/>
        <w:t>Merita Bank Plc (“Party B”)</w:t>
      </w:r>
    </w:p>
    <w:p>
      <w:pPr>
        <w:pStyle w:val="Normal"/>
        <w:widowControl/>
        <w:rPr>
          <w:sz w:val="22"/>
        </w:rPr>
      </w:pPr>
      <w:r>
        <w:rPr>
          <w:sz w:val="22"/>
        </w:rPr>
      </w:r>
    </w:p>
    <w:p>
      <w:pPr>
        <w:pStyle w:val="Normal"/>
        <w:widowControl/>
        <w:ind w:firstLine="720" w:end="0"/>
        <w:rPr>
          <w:sz w:val="22"/>
        </w:rPr>
      </w:pPr>
      <w:r>
        <w:rPr>
          <w:sz w:val="22"/>
        </w:rPr>
        <w:t xml:space="preserve">Attention: </w:t>
        <w:tab/>
        <w:tab/>
        <w:tab/>
        <w:t>Karri Lehtinen</w:t>
      </w:r>
    </w:p>
    <w:p>
      <w:pPr>
        <w:pStyle w:val="Normal"/>
        <w:widowControl/>
        <w:rPr>
          <w:sz w:val="22"/>
        </w:rPr>
      </w:pPr>
      <w:r>
        <w:rPr>
          <w:sz w:val="22"/>
        </w:rPr>
      </w:r>
    </w:p>
    <w:p>
      <w:pPr>
        <w:pStyle w:val="Normal"/>
        <w:widowControl/>
        <w:ind w:firstLine="720" w:end="0"/>
        <w:rPr>
          <w:sz w:val="22"/>
        </w:rPr>
      </w:pPr>
      <w:r>
        <w:rPr>
          <w:sz w:val="22"/>
        </w:rPr>
        <w:t>Fax Number:</w:t>
        <w:tab/>
        <w:tab/>
        <w:tab/>
        <w:t>358-9726-1313</w:t>
      </w:r>
    </w:p>
    <w:p>
      <w:pPr>
        <w:pStyle w:val="Normal"/>
        <w:widowControl/>
        <w:rPr>
          <w:sz w:val="22"/>
        </w:rPr>
      </w:pPr>
      <w:r>
        <w:rPr>
          <w:sz w:val="22"/>
        </w:rPr>
      </w:r>
    </w:p>
    <w:p>
      <w:pPr>
        <w:pStyle w:val="Normal"/>
        <w:widowControl/>
        <w:ind w:firstLine="720" w:end="0"/>
        <w:rPr>
          <w:sz w:val="22"/>
        </w:rPr>
      </w:pPr>
      <w:r>
        <w:rPr>
          <w:sz w:val="22"/>
        </w:rPr>
        <w:t>From:</w:t>
        <w:tab/>
        <w:tab/>
        <w:tab/>
        <w:tab/>
        <w:t>Enron Capital &amp; Trade Resources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ECT Deal No. EY5106.1</w:t>
      </w:r>
    </w:p>
    <w:p>
      <w:pPr>
        <w:pStyle w:val="Normal"/>
        <w:widowControl/>
        <w:ind w:firstLine="720" w:end="0"/>
        <w:rPr>
          <w:sz w:val="22"/>
        </w:rPr>
      </w:pPr>
      <w:r>
        <w:rPr>
          <w:sz w:val="22"/>
        </w:rPr>
      </w:r>
    </w:p>
    <w:p>
      <w:pPr>
        <w:pStyle w:val="Normal"/>
        <w:widowControl/>
        <w:ind w:firstLine="720" w:end="0"/>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January 22, 1999,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5,000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Northern Bleached Softwood Kraft</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June 23,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June 28,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15,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w:t>
            </w:r>
          </w:p>
        </w:tc>
        <w:tc>
          <w:tcPr>
            <w:tcW w:w="4788" w:type="dxa"/>
            <w:tcBorders/>
          </w:tcPr>
          <w:p>
            <w:pPr>
              <w:pStyle w:val="Normal"/>
              <w:widowControl/>
              <w:jc w:val="both"/>
              <w:rPr>
                <w:sz w:val="22"/>
              </w:rPr>
            </w:pPr>
            <w:r>
              <w:rPr>
                <w:sz w:val="22"/>
              </w:rPr>
              <w:t>From and including June 28, 1999 through and including December 15, 1999</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w:t>
            </w:r>
          </w:p>
        </w:tc>
        <w:tc>
          <w:tcPr>
            <w:tcW w:w="4788" w:type="dxa"/>
            <w:tcBorders/>
          </w:tcPr>
          <w:p>
            <w:pPr>
              <w:pStyle w:val="Normal"/>
              <w:widowControl/>
              <w:jc w:val="both"/>
              <w:rPr>
                <w:sz w:val="22"/>
              </w:rPr>
            </w:pPr>
            <w:r>
              <w:rPr>
                <w:sz w:val="22"/>
              </w:rPr>
              <w:t>December 20, 1999</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$507.00</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sz w:val="22"/>
              </w:rPr>
            </w:pPr>
            <w:r>
              <w:rPr>
                <w:sz w:val="22"/>
              </w:rPr>
              <w:t xml:space="preserve">The Floating Price for the Calculation Period shall be a USD amount equal to the arithmetic average of </w:t>
            </w:r>
            <w:r>
              <w:rPr>
                <w:color w:val="000000"/>
                <w:sz w:val="22"/>
              </w:rPr>
              <w:t xml:space="preserve">the closing settlement price for the </w:t>
            </w:r>
            <w:r>
              <w:rPr>
                <w:sz w:val="22"/>
              </w:rPr>
              <w:t>Northern Bleached Softwood Kraft</w:t>
            </w:r>
            <w:r>
              <w:rPr>
                <w:color w:val="000000"/>
                <w:sz w:val="22"/>
              </w:rPr>
              <w:t xml:space="preserve"> December 1999 Pulpex Futures Contract (as traded on the OMLX, Stockholm) </w:t>
            </w:r>
            <w:r>
              <w:rPr>
                <w:sz w:val="22"/>
              </w:rPr>
              <w:t>for each Pricing Date</w:t>
            </w:r>
            <w:r>
              <w:rPr>
                <w:color w:val="000000"/>
                <w:sz w:val="22"/>
              </w:rPr>
              <w:t xml:space="preserve">; provided, however, that in the event no such closing settlement price is available for any Pricing Date, the closing settlement price for such Pricing date shall equal the </w:t>
            </w:r>
            <w:r>
              <w:rPr>
                <w:sz w:val="22"/>
              </w:rPr>
              <w:t>Northern Bleached Softwood Kraft</w:t>
            </w:r>
            <w:r>
              <w:rPr>
                <w:color w:val="000000"/>
                <w:sz w:val="22"/>
              </w:rPr>
              <w:t xml:space="preserve"> December 1999 Pulpex Futures Contract closing settlement price for the immediately preceding Pricing Date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sz w:val="22"/>
              </w:rPr>
            </w:pPr>
            <w:r>
              <w:rPr>
                <w:color w:val="000000"/>
                <w:sz w:val="22"/>
              </w:rPr>
              <w:t>Each Commodity Business Day during the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sz w:val="22"/>
              </w:rPr>
            </w:pPr>
            <w:r>
              <w:rPr>
                <w:sz w:val="22"/>
              </w:rPr>
              <w:t>None</w:t>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r>
        <w:br w:type="page"/>
      </w:r>
    </w:p>
    <w:p>
      <w:pPr>
        <w:pStyle w:val="Normal"/>
        <w:widowControl/>
        <w:jc w:val="both"/>
        <w:rPr>
          <w:sz w:val="22"/>
        </w:rPr>
      </w:pPr>
      <w:r>
        <w:rPr>
          <w:sz w:val="22"/>
        </w:rPr>
      </w:r>
    </w:p>
    <w:p>
      <w:pPr>
        <w:pStyle w:val="Normal"/>
        <w:widowControl/>
        <w:ind w:firstLine="720" w:end="0"/>
        <w:jc w:val="both"/>
        <w:rPr>
          <w:sz w:val="22"/>
        </w:rPr>
      </w:pPr>
      <w:r>
        <w:rPr>
          <w:sz w:val="22"/>
        </w:rPr>
        <w:t>Enron Capital &amp; Trade Resources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Capital and Trade Resources Corp. </w:t>
        <w:tab/>
        <w:t>Merita Bank Plc</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EY5106.1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1999-06-24T19:39:00Z</dcterms:created>
  <dc:creator>Enron</dc:creator>
  <dc:description/>
  <dc:language>en-CA</dc:language>
  <cp:lastModifiedBy>dneuner</cp:lastModifiedBy>
  <cp:lastPrinted>1999-06-24T17:08:00Z</cp:lastPrinted>
  <dcterms:modified xsi:type="dcterms:W3CDTF">1999-06-24T19:39:00Z</dcterms:modified>
  <cp:revision>2</cp:revision>
  <dc:subject/>
  <dc:title>[ECT LETTERHEAD]</dc:title>
</cp:coreProperties>
</file>