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00" w:leader="none"/>
        </w:tabs>
        <w:jc w:val="center"/>
        <w:rPr>
          <w:rFonts w:ascii="Arial" w:hAnsi="Arial" w:cs="Arial"/>
          <w:sz w:val="20"/>
        </w:rPr>
      </w:pPr>
      <w:r>
        <w:rPr>
          <w:rFonts w:cs="Arial" w:ascii="Arial" w:hAnsi="Arial"/>
          <w:sz w:val="20"/>
          <w:u w:val="single"/>
        </w:rPr>
        <w:t>GAS LIFT SALES CONTRACT</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THIS CONTRACT is made and entered into by and MERIT ENERGY, a Delaware corporation, hereinafter referred to as "Buyer", and HOUSTON PIPE LINE COMPANY, a Delaware corporation, hereinafter referred to as "Seller";</w:t>
      </w:r>
    </w:p>
    <w:p>
      <w:pPr>
        <w:pStyle w:val="Normal"/>
        <w:jc w:val="both"/>
        <w:rPr>
          <w:rFonts w:ascii="Arial" w:hAnsi="Arial" w:cs="Arial"/>
          <w:sz w:val="20"/>
        </w:rPr>
      </w:pPr>
      <w:r>
        <w:rPr>
          <w:rFonts w:cs="Arial" w:ascii="Arial" w:hAnsi="Arial"/>
          <w:sz w:val="20"/>
        </w:rPr>
      </w:r>
    </w:p>
    <w:p>
      <w:pPr>
        <w:pStyle w:val="Expanded"/>
        <w:rPr>
          <w:rFonts w:ascii="Arial" w:hAnsi="Arial" w:cs="Arial"/>
          <w:sz w:val="20"/>
        </w:rPr>
      </w:pPr>
      <w:r>
        <w:rPr>
          <w:rFonts w:cs="Arial" w:ascii="Arial" w:hAnsi="Arial"/>
          <w:sz w:val="20"/>
        </w:rPr>
        <w:t>WITNESSETH:</w:t>
      </w:r>
    </w:p>
    <w:p>
      <w:pPr>
        <w:pStyle w:val="Normal"/>
        <w:jc w:val="both"/>
        <w:rPr>
          <w:rFonts w:ascii="Arial" w:hAnsi="Arial" w:cs="Arial"/>
          <w:sz w:val="20"/>
        </w:rPr>
      </w:pPr>
      <w:r>
        <w:rPr>
          <w:rFonts w:cs="Arial" w:ascii="Arial" w:hAnsi="Arial"/>
          <w:sz w:val="20"/>
        </w:rPr>
        <w:tab/>
        <w:t>THAT WHEREAS, Seller has terminated the previous arrangement between Buyer and Seller effective November 30, 2000 (HPL Global Contract No. 96002832), and desires to enter into this contract to continue the supply of natural gas upon the terms and conditions hereinafter set forth.</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THAT WHEREAS, Buyer desires to purchase from Seller, and Seller desires to sell to Buyer a supply of natural gas upon the terms and conditions hereinafter set forth.</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NOW, THEREFORE, in consideration of the sum of Ten Dollars ($10.00) cash in hand paid by Buyer to Seller, the receipt and sufficiency of which are hereby acknowledged, and of the mutual covenants and agreements herein set forth, the parties have agreed as follows: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w:t>
        <w:tab/>
      </w:r>
      <w:r>
        <w:rPr>
          <w:rFonts w:cs="Arial" w:ascii="Arial" w:hAnsi="Arial"/>
          <w:sz w:val="20"/>
          <w:u w:val="single"/>
        </w:rPr>
        <w:t>Quantity</w:t>
      </w:r>
      <w:r>
        <w:rPr>
          <w:rFonts w:cs="Arial" w:ascii="Arial" w:hAnsi="Arial"/>
          <w:sz w:val="20"/>
        </w:rPr>
        <w:t xml:space="preserve"> - Subject to the other provisions hereof, Buyer agrees to purchase and receive hereunder from Seller and Seller agrees to sell and deliver, or cause to be delivered, hereunder to Buyer such quantity of natural gas, up to a maximum of 1000 MMBtu of gas per day ("Maximum Daily Quantity" or "MDQ"), as may be made available for sale from time to time by Seller to Buyer and which Buyer may desire to purchase from Seller each day during the term hereof.  No later than seven (7) days prior to the first day of each month of the term hereof, Buyer shall provide to Seller a nomination schedule of the anticipated volumes required for Buyer's gas lift operations for such month, not to exceed the MDQ.  Should Buyer desire to change the nominated or confirmed quantities for any reason during any month of the term hereof, Buyer shall provide to Seller notice thereof not later than 12 hours prior to Seller's nomination deadline for the first applicable day such change is requested to be effective. It is specifically agreed by Buyer that the sale and delivery of gas hereunder by Seller shall be subject, at any time and from time to time, to partial or total interruption or cessation at Seller's sole and unfettered discretion for any reason, upon Seller providing oral or written notice.  Seller shall have absolutely no liability whatsoever in damages or otherwise for any such interruption or cessation.  Buyer's sole and exclusive remedy for any such interruption shall be the right to terminate this Contract upon ten (10) days prior written notice to Seller.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2.</w:t>
        <w:tab/>
      </w:r>
      <w:r>
        <w:rPr>
          <w:rFonts w:cs="Arial" w:ascii="Arial" w:hAnsi="Arial"/>
          <w:sz w:val="20"/>
          <w:u w:val="single"/>
        </w:rPr>
        <w:t>Point of Delivery, Facilities and Allocation</w:t>
      </w:r>
      <w:r>
        <w:rPr>
          <w:rFonts w:cs="Arial" w:ascii="Arial" w:hAnsi="Arial"/>
          <w:sz w:val="20"/>
        </w:rPr>
        <w:t xml:space="preserve"> - The point of Delivery ("Point of Delivery") for all gas to be purchased hereunder shall be at the inlet of Buyer's metering facilities located at or near Buyer's East Village Mills Operations in Hardin County, Texas.  Buyer and Seller acknowledge that Buyer's existing meter is a uni-directional meter, which is owned by Buyer.  Such meter shall be used as the Point of Delivery under this Gas Lift Sales Agreement (HPL Contract No. ________________ and Delivery Meter No. 1295).   Buyer shall furnish to Seller, at no expense to Seller, a suitable site, together with the right of ingress and egress, to be used by Seller for Seller's or its designee's measuring and other equipment.  Buyer and Seller acknowledge and agree that the volumes of gas to be sold and delivered hereunder may be delivered in a commingled stream with other volumes being delivered at the Point of Delivery and that Seller shall allocate or cause to be allocated, the volumes of gas delivered hereunder each day.</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3.</w:t>
        <w:tab/>
      </w:r>
      <w:r>
        <w:rPr>
          <w:rFonts w:cs="Arial" w:ascii="Arial" w:hAnsi="Arial"/>
          <w:sz w:val="20"/>
          <w:u w:val="single"/>
        </w:rPr>
        <w:t>Ownership and Control of Gas</w:t>
      </w:r>
      <w:r>
        <w:rPr>
          <w:rFonts w:cs="Arial" w:ascii="Arial" w:hAnsi="Arial"/>
          <w:sz w:val="20"/>
        </w:rPr>
        <w:t xml:space="preserve"> - Title to all gas sold and delivered hereunder shall pass from Seller to Buyer at the outlet of the Point of Delivery.  As between the parties hereto, Seller shall be responsible for any damage or injury caused by the gas until the same shall have been delivered to Buyer at the Point of Delivery, after which delivery Buyer shall be deemed to be in exclusive control and possession thereof and shall be responsible for any damage or injury caused thereby.</w:t>
      </w:r>
    </w:p>
    <w:p>
      <w:pPr>
        <w:pStyle w:val="Normal"/>
        <w:jc w:val="both"/>
        <w:rPr>
          <w:rFonts w:ascii="Arial" w:hAnsi="Arial" w:cs="Arial"/>
          <w:sz w:val="20"/>
        </w:rPr>
      </w:pPr>
      <w:r>
        <w:rPr>
          <w:rFonts w:cs="Arial" w:ascii="Arial" w:hAnsi="Arial"/>
          <w:sz w:val="20"/>
        </w:rPr>
      </w:r>
    </w:p>
    <w:p>
      <w:pPr>
        <w:pStyle w:val="Normal"/>
        <w:numPr>
          <w:ilvl w:val="0"/>
          <w:numId w:val="2"/>
        </w:numPr>
        <w:tabs>
          <w:tab w:val="clear" w:pos="720"/>
          <w:tab w:val="left" w:pos="0" w:leader="none"/>
          <w:tab w:val="left" w:pos="1440" w:leader="none"/>
        </w:tabs>
        <w:ind w:firstLine="720" w:start="0" w:end="0"/>
        <w:jc w:val="both"/>
        <w:rPr>
          <w:rFonts w:ascii="Arial" w:hAnsi="Arial" w:cs="Arial"/>
          <w:sz w:val="20"/>
        </w:rPr>
      </w:pPr>
      <w:r>
        <w:rPr>
          <w:rFonts w:cs="Arial" w:ascii="Arial" w:hAnsi="Arial"/>
          <w:sz w:val="20"/>
          <w:u w:val="single"/>
        </w:rPr>
        <w:t>Gas Quality</w:t>
      </w:r>
      <w:r>
        <w:rPr>
          <w:rFonts w:cs="Arial" w:ascii="Arial" w:hAnsi="Arial"/>
          <w:sz w:val="20"/>
        </w:rPr>
        <w:t xml:space="preserve"> - BUYER ACKNOWLEDGES THAT IT HAS ENTERED INTO THIS AGREEMENT AND IS CONTRACTING FOR THE GAS TO BE SUPPLIED WITHOUT ANY REPRESENTATIONS OR WARRANTIES AS TO THE QUALITY OF THE GAS TO SUPPLIED BY SELLER, INCLUDING, WITHOUT LIMITATION, ANY NATURAL GAS LIQUIDS CONTAINED THEREIN.   BUYER ACCEPTS SUCH GAS "AS-IS" AND "WITH ALL FAULTS."  SELLER EXPRESSLY NEGATES ANY REPRESENTATION OR WARRANTY, WRITTEN OR ORAL, EXPRESS OR IMPLIED, INCLUDING, WITHOUT LIMITATION, ANY REPRESENTATION OR WARRANTY WITH RESPECT TO GAS QUALITY, CONFORMITY TO MODELS OR SAMPLES, MERCHANTABILITY, OR FITNESS FOR ANY PARTICULAR PURPOSE.  EACH PARTY HEREBY WAIVES ALL RIGHTS UNDER, ARISING OUT OF OR ASSOCIATED WITH TEXAS &amp; BUSINESS COMMERCE CODE SECTIONS 17.41 THROUGH 17.63 KNOWN AS THE TEXAS DECEPTIVE TRADE PRACTICES-CONSUMER PROTECTION ACT, TO THE EXTENT ALLOWED BY LAW.</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5.</w:t>
        <w:tab/>
      </w:r>
      <w:r>
        <w:rPr>
          <w:rFonts w:cs="Arial" w:ascii="Arial" w:hAnsi="Arial"/>
          <w:sz w:val="20"/>
          <w:u w:val="single"/>
        </w:rPr>
        <w:t>Delivery Pressure</w:t>
      </w:r>
      <w:r>
        <w:rPr>
          <w:rFonts w:cs="Arial" w:ascii="Arial" w:hAnsi="Arial"/>
          <w:sz w:val="20"/>
        </w:rPr>
        <w:t xml:space="preserve"> - The gas delivered hereunder by Seller or its designee to Buyer shall be delivered at the pressure existing from time to time in the facilities of Seller or its designee at the Point of Delivery.  Buyer shall be solely responsible for compressing the gas delivered at the Delivery Point and owning, operating and maintaining such compression equipment in order to use the gas for Buyer's gas lift operations.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6.</w:t>
        <w:tab/>
      </w:r>
      <w:r>
        <w:rPr>
          <w:rFonts w:cs="Arial" w:ascii="Arial" w:hAnsi="Arial"/>
          <w:sz w:val="20"/>
          <w:u w:val="single"/>
        </w:rPr>
        <w:t>Measurement</w:t>
      </w:r>
      <w:r>
        <w:rPr>
          <w:rFonts w:cs="Arial" w:ascii="Arial" w:hAnsi="Arial"/>
          <w:sz w:val="20"/>
        </w:rPr>
        <w:t xml:space="preserve"> - The unit of volume for measurement of gas delivered hereunder shall be one (1) cubic foot of gas at a temperature of sixty degrees Fahrenheit (60°F.) and at an absolute pressure of fourteen and sixty-five hundredths (14.65) pounds per square inch.  Atmospheric pressure shall be assumed to be fourteen and seven-tenths (14.7) pounds per square inch absolute at the Point of Delivery irrespective of the actual atmospheric pressure at the Point of Delivery from time to time. Adjustments shall be made for flowing temperature and specific gravity as determined from instruments located at the Point of Delivery.  Gas volumes measured with the use of orifice meter(s) shall be determined on the basis of AGA Gas Measurement Report No. 3, as revised in 1966 and as amended and/or supplemented thereafter; and gas volumes measured with the use of positive or turbine meter(s) shall be determined on the basis of AGA Gas Measurement Report No. 7, as issued in 1981 and as may be amended and/or supplemented thereafter.  The flowing temperature of the gas being metered shall be determined continuously, during periods of flow when gas is being delivered, by means of a recording thermometer of standard make mutually acceptable to Seller and Buyer, and the arithmetical average of the temperature recorded during periods of flow only shall be deemed the gas temperature.  Temperature so determined shall be used in computing the volumes of gas delivered hereunder.  The specific gravity, gross heating value and degree of saturation by water vapor of the gas delivered hereunder shall be determined by such methods as may be mutually agreeable to Seller and Buyer from samples taken at the Point of Delivery once a month or at such other interval as may be mutually agreeable.  The specific gravity so determined shall be used in computing the volumes of gas delivered hereunder.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7.</w:t>
        <w:tab/>
      </w:r>
      <w:r>
        <w:rPr>
          <w:rFonts w:cs="Arial" w:ascii="Arial" w:hAnsi="Arial"/>
          <w:sz w:val="20"/>
          <w:u w:val="single"/>
        </w:rPr>
        <w:t>Price, Billing and Payment</w:t>
      </w:r>
      <w:r>
        <w:rPr>
          <w:rFonts w:cs="Arial" w:ascii="Arial" w:hAnsi="Arial"/>
          <w:sz w:val="20"/>
        </w:rPr>
        <w:t xml:space="preserve"> - The price for each MMBtu of gas sold and delivered hereunder during any one billing month shall be the Inside FERC Delivered Spot-Gas Price for such month plus $1.00 for each MMBtu of gas delivered to Buyer at the Point of Delivery.  The term "Inside FERC Delivered Spot-Gas Price" as used herein, to be used in pricing for a month, means the Index (Most Frequently Reported Price) Delivered Spot-Gas Price (per MMBtu) for the Houston Ship Channel/Beaumont, Texas area large volume (at least 3,500 Mcf per day) deliveries for the current month stated on a MMBtu basis.  Such Inside FERC Delivered Spot-Gas Price for the month is currently found in McGraw-Hill, Inc.'s Inside FERC Gas Market Report published every other Friday.  The values contained in the first publication of the Inside FERC Gas Market Report for the month shall be used for such month.  If such publication should cease to publish the Inside FERC Delivered Spot-Gas Price, a mutually agreeable substitute publication for Houston Ship Channel/Beaumont, Texas area delivered spot index price purchases shall be used, if available.  Additionally, Buyer shall pay Seller a meter operation fee of $500.00 per month for each such month during the term hereof.  On or before the tenth (10th) day of each calendar month, Seller will render to Buyer a statement setting forth the total quantity of gas, in terms of Mcf and MMBtu, delivered hereunder at the point of Delivery during the immediately preceding calendar month and the amount payable therefor.  Buyer agrees to pay Seller, as designated by Seller's statement, by wire transfer to HOUSTON PIPE LINE COMPANY, ABA Routing</w:t>
      </w:r>
      <w:r>
        <w:rPr>
          <w:rFonts w:cs="Arial" w:ascii="Arial" w:hAnsi="Arial"/>
          <w:color w:val="000000"/>
          <w:sz w:val="20"/>
          <w:szCs w:val="18"/>
        </w:rPr>
        <w:t xml:space="preserve"> 111000012 Bank of America, N.A. Texas, </w:t>
      </w:r>
      <w:r>
        <w:rPr>
          <w:rFonts w:cs="Arial" w:ascii="Arial" w:hAnsi="Arial"/>
          <w:sz w:val="20"/>
        </w:rPr>
        <w:t xml:space="preserve">Account </w:t>
      </w:r>
      <w:r>
        <w:rPr>
          <w:rFonts w:cs="Arial" w:ascii="Arial" w:hAnsi="Arial"/>
          <w:color w:val="000000"/>
          <w:sz w:val="20"/>
          <w:szCs w:val="18"/>
        </w:rPr>
        <w:t>3750494141</w:t>
      </w:r>
      <w:r>
        <w:rPr>
          <w:rFonts w:cs="Arial" w:ascii="Arial" w:hAnsi="Arial"/>
          <w:sz w:val="20"/>
        </w:rPr>
        <w:t>, the full amount payable according to such statement on or before ten (10) days following the receipt thereof by Buyer.  If Buyer fails to tender the full amount invoiced within the time specified, Seller shall have the right to cease natural gas deliveries without termination of this Contract.  Seller shall not be obligated to restore deliveries of gas to Buyer hereunder until the full amount of the invoice is tendered to Seller.  Buyer shall deposit with Seller an amount equal to two months estimated charges as determined by Seller from time to time.  The amount of such charges is currently estimated to be $3,500.00 which shall not be considered as a prepayment but shall be held as a deposit.  If from time to time Seller, in Seller's sole discretion, determines that the deposit is not sufficient to cover two months of estimated charges, Seller shall notify Buyer and Buyer shall tender to Seller, within ten (10) days of Buyer's receipt of Seller's notice, such additional payment securities as may be acceptable to Seller to cover two months of estimated charges.  In the event Buyer fails to provide payment securities acceptable to Seller within twenty (20) days of Seller's request therefor, Seller and Buyer agree that Seller may suspend its performance hereunder until such time as Buyer furnishes acceptable payment securities to Seller. The deposit shall be refunded to Buyer upon termination of this Contract; however, if Buyer owes any monies to Seller at the time of termination of this Contract, such monies shall be deducted from the deposit and Buyer shall be paid the balance of the deposit, if any.  In addition to all other remedies available to Seller, should Buyer fail to pay any amount when the same becomes due, interest shall accrue thereon at a rate equal to the prime rate from time to time in effect and changed by the Citibank, N.A., New York, New York, plus two percent (2%) per annum, (but in no event greater than the maximum rate of interest permitted by law) with adjustment in such rate to be made on the same day as any change in such prime rate, for any period during which the same shall be overdue, such interest to be paid when the amount past due is paid.  In the event Buyer fails to pay Seller any amount when the same becomes due, Seller shall have the unconditional right to offset monies due Buyer from Seller under any other contract with Seller, including any contracts which Buyer has with any parent, affiliate or subsidiary company of Seller.  Each party hereto or its representative shall have the right at all reasonable times to examine the books and records of the other party to the extent necessary to verify the accuracy of any statement, charge, computation or demand made under or pursuant to this Contract.  Any statement shall be final as to all parties unless questioned within two (2) years after payment thereof has been made.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8.</w:t>
        <w:tab/>
      </w:r>
      <w:r>
        <w:rPr>
          <w:rFonts w:cs="Arial" w:ascii="Arial" w:hAnsi="Arial"/>
          <w:sz w:val="20"/>
          <w:u w:val="single"/>
        </w:rPr>
        <w:t>Term</w:t>
      </w:r>
      <w:r>
        <w:rPr>
          <w:rFonts w:cs="Arial" w:ascii="Arial" w:hAnsi="Arial"/>
          <w:sz w:val="20"/>
        </w:rPr>
        <w:t xml:space="preserve"> - This Contract shall be effective and operative as of December 1, 2000, and shall continue in force and effect through December 31, 2000 and from month to month thereafter until terminated by either party upon not less than ten (10) days' prior written notice to the other party.</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9.</w:t>
        <w:tab/>
      </w:r>
      <w:r>
        <w:rPr>
          <w:rFonts w:cs="Arial" w:ascii="Arial" w:hAnsi="Arial"/>
          <w:sz w:val="20"/>
          <w:u w:val="single"/>
        </w:rPr>
        <w:t>Representations and Warranties</w:t>
      </w:r>
      <w:r>
        <w:rPr>
          <w:rFonts w:cs="Arial" w:ascii="Arial" w:hAnsi="Arial"/>
          <w:sz w:val="20"/>
        </w:rPr>
        <w:t xml:space="preserve"> - Seller represents and warrants to Buyer that it has full and unqualified title and authority to sell all gas delivered here</w:t>
        <w:softHyphen/>
        <w:t>under, that such gas is free from all liens and adverse claims, and that Seller will indemnify Buyer against all suits, debts, damages, costs and expenses arising from every claim of any person against such gas prior to its delivery to Buyer hereunder.  Buyer represents and warrants to Seller that all gas which Buyer purchases hereunder will not be sold, consumed, transported or otherwise utilized in interstate commerce, nor shall such gas be commingled at any point downstream from the Point of Delivery with other gas which is or may be sold, consumed, transported or otherwise utilized in interstate commerce, in such a manner which will subject the gas subject to this Contract or Seller's or its designee's pipeline system, or any portion thereof, to the jurisdiction of the Federal Energy Regulatory Commission or any successor authority.  Buyer agrees to indemnify and hold Seller harmless from and against any and all suits, actions, damages, costs, losses and expenses sustained by Seller relative to any breach by Buyer of the covenants herein expressed.</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10.</w:t>
        <w:tab/>
      </w:r>
      <w:r>
        <w:rPr>
          <w:rFonts w:cs="Arial" w:ascii="Arial" w:hAnsi="Arial"/>
          <w:sz w:val="20"/>
          <w:u w:val="single"/>
        </w:rPr>
        <w:t>Force Majeure</w:t>
      </w:r>
      <w:r>
        <w:rPr>
          <w:rFonts w:cs="Arial" w:ascii="Arial" w:hAnsi="Arial"/>
          <w:sz w:val="20"/>
        </w:rPr>
        <w:t xml:space="preserve"> - If any party is rendered unable, wholly or in part, by force majeure or other causes herein specified, to carry out its obligations under this Contract, then upon such party's giving notice and reasonably full particulars of such force majeure in writing or by telegraph to the other party within a reasonable time after the occurrence of the cause relied on, the obligations of the party giving such notice, so far as they are affected by such force majeure or other causes herein specified, shall be suspended during the continuance of such cause, but for no longer period, and such cause shall be remedied so far as possible with all reason</w:t>
        <w:softHyphen/>
        <w:t>able dispatch.  The provisions hereof shall not apply to the obligation to make payments of monetary amounts due for gas purchased or received hereunder.  The term "force majeure" as employed herein means acts of God; strikes, lockouts or other industrial disturbances; acts of the public enemy; wars; blockades; insurrections; riots, epidemics; landslides; lightning; earthquakes; fires; storms; floods; washouts; arrests and restraints of the government, either federal or state, civil or military; civil disturbances; explosions; breakage; breakdown or accident to machinery, equipment or lines of pipe; freezing of wells or lines of pipe; partial or entire failure of natural gas wells or gas supply; depletion of gas reserves; inability of Seller or its supplier to acquire satisfactory new reserves in order to maintain deliverability; fluctuations in gas pressure; demands in excess of the capacity of equipment or pipelines; the necessity or desirability of repairing, altering, maintaining, inspecting, replacing, changing the size of, substituting or removing machinery, equipment, pipelines or appurtenant facilities; and any other causes, whether of a kind herein enumerated or otherwise, not reasonably within the control of the party claiming suspension, and which by the exercise of due diligence such party is unable, wholly or in part, to prevent or overcome.  Either party may partially or entirely interrupt its performance hereunder for the purpose of making neces</w:t>
        <w:softHyphen/>
        <w:t>sary or desirable inspections, alterations and repairs, but only for such time as may be reasonable and unavoidable; and the party requiring such relief shall give to the other party reasonable notice of its intention to suspend its performance hereunder, except in cases of emergency where such notice is impracticable, and shall endeavor to arrange such interrup</w:t>
        <w:softHyphen/>
        <w:t>tions so as to inconvenience the other party as little as possible. Service interruptions on the part of either party which are sanctioned by the provisions of this Paragraph are expressly included within the definition of "force majeure" for the purposes of this Contract.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11.</w:t>
        <w:tab/>
      </w:r>
      <w:r>
        <w:rPr>
          <w:rFonts w:cs="Arial" w:ascii="Arial" w:hAnsi="Arial"/>
          <w:sz w:val="20"/>
          <w:u w:val="single"/>
        </w:rPr>
        <w:t>Taxes</w:t>
      </w:r>
      <w:r>
        <w:rPr>
          <w:rFonts w:cs="Arial" w:ascii="Arial" w:hAnsi="Arial"/>
          <w:sz w:val="20"/>
        </w:rPr>
        <w:t xml:space="preserve"> - Buyer agrees to pay unto Seller, in addition to the other sums payable to Seller under this Contract, the full amount of any sales or use taxes and any production, distri</w:t>
        <w:softHyphen/>
        <w:t>bution, excise, gross receipts, severance, occupation, gathering, transporta</w:t>
        <w:softHyphen/>
        <w:t>tion, street rental, license, transmission or any other taxes or charges of every kind and character (excepting franchise and excess profits taxes and taxes measured by net income), whether of a nature similar to those specifically enumerated or of an entirely different character, levied, assessed or fixed by any municipal or governmental authority against Seller or its business in connection with or attri</w:t>
        <w:softHyphen/>
        <w:t>butable to or allocable to the volume, value or gross receipts from the sale of gas to Buyer hereunder or against such gas itself or the act, right or privilege of ownership, production, severance, handling, transmission, compression, distribution, sale or delivery of such gas, whether such tax or charge be based upon the volume, value or gross receipts from the sale of such gas or upon some other basis.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12.</w:t>
        <w:tab/>
      </w:r>
      <w:r>
        <w:rPr>
          <w:rFonts w:cs="Arial" w:ascii="Arial" w:hAnsi="Arial"/>
          <w:sz w:val="20"/>
          <w:u w:val="single"/>
        </w:rPr>
        <w:t>Governmental Regulation</w:t>
      </w:r>
      <w:r>
        <w:rPr>
          <w:rFonts w:cs="Arial" w:ascii="Arial" w:hAnsi="Arial"/>
          <w:sz w:val="20"/>
        </w:rPr>
        <w:t xml:space="preserve"> - This Contract is subject to all valid existing and future Rules, Regulations, Orders, Laws or Proclamations of governmental authorities (both federal and state, including both civil and military) having jurisdiction over the parties hereto or the subject matter hereof.</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13.</w:t>
        <w:tab/>
      </w:r>
      <w:r>
        <w:rPr>
          <w:rFonts w:cs="Arial" w:ascii="Arial" w:hAnsi="Arial"/>
          <w:sz w:val="20"/>
          <w:u w:val="single"/>
        </w:rPr>
        <w:t>Successors and Assigns</w:t>
      </w:r>
      <w:r>
        <w:rPr>
          <w:rFonts w:cs="Arial" w:ascii="Arial" w:hAnsi="Arial"/>
          <w:sz w:val="20"/>
        </w:rPr>
        <w:t xml:space="preserve"> - The terms and provisions of this Contract shall be binding upon and inure to the benefit of the successors, assigns and legal representatives of the parties hereto; provided, however, that neither party shall assign this Contract or any portion hereof, or any of its rights and obliga</w:t>
        <w:softHyphen/>
        <w:t>tions hereunder, without the prior written consent of the other, which consent will not be unreasonably withheld, and provided further, that either party shall have the right to pledge or mortgage its respective rights hereunder for the security of its indebtedness without the prior written consent of the other.  Notwithstanding anything to the con</w:t>
        <w:softHyphen/>
        <w:t>trary hereinabove provided, Seller shall have the right to assign this Contract, in whole or in part, to any subsidiary or affiliate of Seller without Buyer's consent.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14.</w:t>
        <w:tab/>
      </w:r>
      <w:r>
        <w:rPr>
          <w:rFonts w:cs="Arial" w:ascii="Arial" w:hAnsi="Arial"/>
          <w:sz w:val="20"/>
          <w:u w:val="single"/>
        </w:rPr>
        <w:t>Notices</w:t>
      </w:r>
      <w:r>
        <w:rPr>
          <w:rFonts w:cs="Arial" w:ascii="Arial" w:hAnsi="Arial"/>
          <w:sz w:val="20"/>
        </w:rPr>
        <w:t xml:space="preserve"> - Any notice, request, demand or statement provided for in this Contract, or any notice which a party may desire to give to the other, shall be in writing and shall be considered as duly delivered when mailed, telefaxed or delivered to the other party at the following address:</w:t>
      </w:r>
    </w:p>
    <w:p>
      <w:pPr>
        <w:pStyle w:val="Normal"/>
        <w:jc w:val="both"/>
        <w:rPr>
          <w:rFonts w:ascii="Arial" w:hAnsi="Arial" w:cs="Arial"/>
          <w:sz w:val="20"/>
        </w:rPr>
      </w:pPr>
      <w:r>
        <w:rPr>
          <w:rFonts w:cs="Arial" w:ascii="Arial" w:hAnsi="Arial"/>
          <w:sz w:val="20"/>
        </w:rPr>
      </w:r>
    </w:p>
    <w:tbl>
      <w:tblPr>
        <w:tblW w:w="7308" w:type="dxa"/>
        <w:jc w:val="start"/>
        <w:tblInd w:w="1440" w:type="dxa"/>
        <w:tblLayout w:type="fixed"/>
        <w:tblCellMar>
          <w:top w:w="0" w:type="dxa"/>
          <w:start w:w="108" w:type="dxa"/>
          <w:bottom w:w="0" w:type="dxa"/>
          <w:end w:w="108" w:type="dxa"/>
        </w:tblCellMar>
      </w:tblPr>
      <w:tblGrid>
        <w:gridCol w:w="2268"/>
        <w:gridCol w:w="5040"/>
      </w:tblGrid>
      <w:tr>
        <w:trPr/>
        <w:tc>
          <w:tcPr>
            <w:tcW w:w="2268" w:type="dxa"/>
            <w:tcBorders/>
          </w:tcPr>
          <w:p>
            <w:pPr>
              <w:pStyle w:val="Normal"/>
              <w:jc w:val="both"/>
              <w:rPr>
                <w:rFonts w:ascii="Arial" w:hAnsi="Arial" w:cs="Arial"/>
                <w:sz w:val="20"/>
              </w:rPr>
            </w:pPr>
            <w:r>
              <w:rPr>
                <w:rFonts w:cs="Arial" w:ascii="Arial" w:hAnsi="Arial"/>
                <w:sz w:val="20"/>
              </w:rPr>
              <w:t>Seller:</w:t>
            </w:r>
          </w:p>
        </w:tc>
        <w:tc>
          <w:tcPr>
            <w:tcW w:w="5040" w:type="dxa"/>
            <w:tcBorders/>
          </w:tcPr>
          <w:p>
            <w:pPr>
              <w:pStyle w:val="Normal"/>
              <w:jc w:val="both"/>
              <w:rPr>
                <w:rFonts w:ascii="Arial" w:hAnsi="Arial" w:cs="Arial"/>
                <w:sz w:val="20"/>
              </w:rPr>
            </w:pPr>
            <w:r>
              <w:rPr>
                <w:rFonts w:cs="Arial" w:ascii="Arial" w:hAnsi="Arial"/>
                <w:sz w:val="20"/>
              </w:rPr>
              <w:t>HOUSTON PIPE LINE COMPANY</w:t>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jc w:val="both"/>
              <w:rPr>
                <w:rFonts w:ascii="Arial" w:hAnsi="Arial" w:cs="Arial"/>
                <w:sz w:val="20"/>
              </w:rPr>
            </w:pPr>
            <w:r>
              <w:rPr>
                <w:rFonts w:cs="Arial" w:ascii="Arial" w:hAnsi="Arial"/>
                <w:sz w:val="20"/>
              </w:rPr>
              <w:t>Attn:  Producer Services</w:t>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jc w:val="both"/>
              <w:rPr>
                <w:rFonts w:ascii="Arial" w:hAnsi="Arial" w:cs="Arial"/>
                <w:sz w:val="20"/>
              </w:rPr>
            </w:pPr>
            <w:r>
              <w:rPr>
                <w:rFonts w:cs="Arial" w:ascii="Arial" w:hAnsi="Arial"/>
                <w:sz w:val="20"/>
              </w:rPr>
              <w:t>1400 Smith</w:t>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jc w:val="both"/>
              <w:rPr>
                <w:rFonts w:ascii="Arial" w:hAnsi="Arial" w:cs="Arial"/>
                <w:sz w:val="20"/>
              </w:rPr>
            </w:pPr>
            <w:r>
              <w:rPr>
                <w:rFonts w:cs="Arial" w:ascii="Arial" w:hAnsi="Arial"/>
                <w:sz w:val="20"/>
              </w:rPr>
              <w:t>Houston, Texas  77002</w:t>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jc w:val="both"/>
              <w:rPr>
                <w:rFonts w:ascii="Arial" w:hAnsi="Arial" w:cs="Arial"/>
                <w:sz w:val="20"/>
              </w:rPr>
            </w:pPr>
            <w:r>
              <w:rPr>
                <w:rFonts w:cs="Arial" w:ascii="Arial" w:hAnsi="Arial"/>
                <w:sz w:val="20"/>
              </w:rPr>
              <w:t>FAX # (713) 646-2654</w:t>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snapToGrid w:val="false"/>
              <w:jc w:val="both"/>
              <w:rPr>
                <w:rFonts w:ascii="Arial" w:hAnsi="Arial" w:cs="Arial"/>
                <w:sz w:val="20"/>
              </w:rPr>
            </w:pPr>
            <w:r>
              <w:rPr>
                <w:rFonts w:cs="Arial" w:ascii="Arial" w:hAnsi="Arial"/>
                <w:sz w:val="20"/>
              </w:rPr>
            </w:r>
          </w:p>
        </w:tc>
      </w:tr>
      <w:tr>
        <w:trPr/>
        <w:tc>
          <w:tcPr>
            <w:tcW w:w="2268" w:type="dxa"/>
            <w:tcBorders/>
          </w:tcPr>
          <w:p>
            <w:pPr>
              <w:pStyle w:val="Normal"/>
              <w:jc w:val="both"/>
              <w:rPr>
                <w:rFonts w:ascii="Arial" w:hAnsi="Arial" w:cs="Arial"/>
                <w:sz w:val="20"/>
              </w:rPr>
            </w:pPr>
            <w:r>
              <w:rPr>
                <w:rFonts w:cs="Arial" w:ascii="Arial" w:hAnsi="Arial"/>
                <w:sz w:val="20"/>
              </w:rPr>
              <w:t>Buyer:</w:t>
            </w:r>
          </w:p>
        </w:tc>
        <w:tc>
          <w:tcPr>
            <w:tcW w:w="5040" w:type="dxa"/>
            <w:tcBorders/>
          </w:tcPr>
          <w:p>
            <w:pPr>
              <w:pStyle w:val="Normal"/>
              <w:tabs>
                <w:tab w:val="clear" w:pos="720"/>
                <w:tab w:val="left" w:pos="4572" w:leader="none"/>
              </w:tabs>
              <w:snapToGrid w:val="false"/>
              <w:jc w:val="both"/>
              <w:rPr>
                <w:rFonts w:ascii="Arial" w:hAnsi="Arial" w:cs="Arial"/>
                <w:sz w:val="20"/>
              </w:rPr>
            </w:pPr>
            <w:r>
              <w:rPr>
                <w:rFonts w:cs="Arial" w:ascii="Arial" w:hAnsi="Arial"/>
                <w:sz w:val="20"/>
              </w:rPr>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tabs>
                <w:tab w:val="clear" w:pos="720"/>
                <w:tab w:val="left" w:pos="4572" w:leader="none"/>
              </w:tabs>
              <w:snapToGrid w:val="false"/>
              <w:jc w:val="both"/>
              <w:rPr>
                <w:rFonts w:ascii="Arial" w:hAnsi="Arial" w:cs="Arial"/>
                <w:sz w:val="20"/>
              </w:rPr>
            </w:pPr>
            <w:r>
              <w:rPr>
                <w:rFonts w:cs="Arial" w:ascii="Arial" w:hAnsi="Arial"/>
                <w:sz w:val="20"/>
              </w:rPr>
            </w:r>
          </w:p>
          <w:p>
            <w:pPr>
              <w:pStyle w:val="Normal"/>
              <w:tabs>
                <w:tab w:val="clear" w:pos="720"/>
                <w:tab w:val="left" w:pos="4572" w:leader="none"/>
              </w:tabs>
              <w:jc w:val="both"/>
              <w:rPr>
                <w:rFonts w:ascii="Arial" w:hAnsi="Arial" w:cs="Arial"/>
                <w:sz w:val="20"/>
              </w:rPr>
            </w:pPr>
            <w:r>
              <w:rPr>
                <w:rFonts w:cs="Arial" w:ascii="Arial" w:hAnsi="Arial"/>
                <w:sz w:val="20"/>
              </w:rPr>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tabs>
                <w:tab w:val="clear" w:pos="720"/>
                <w:tab w:val="left" w:pos="4572" w:leader="none"/>
              </w:tabs>
              <w:snapToGrid w:val="false"/>
              <w:jc w:val="both"/>
              <w:rPr>
                <w:rFonts w:ascii="Arial" w:hAnsi="Arial" w:cs="Arial"/>
                <w:sz w:val="20"/>
              </w:rPr>
            </w:pPr>
            <w:r>
              <w:rPr>
                <w:rFonts w:cs="Arial" w:ascii="Arial" w:hAnsi="Arial"/>
                <w:sz w:val="20"/>
              </w:rPr>
            </w:r>
          </w:p>
        </w:tc>
      </w:tr>
      <w:tr>
        <w:trPr/>
        <w:tc>
          <w:tcPr>
            <w:tcW w:w="2268" w:type="dxa"/>
            <w:tcBorders/>
          </w:tcPr>
          <w:p>
            <w:pPr>
              <w:pStyle w:val="Normal"/>
              <w:snapToGrid w:val="false"/>
              <w:jc w:val="both"/>
              <w:rPr>
                <w:rFonts w:ascii="Arial" w:hAnsi="Arial" w:cs="Arial"/>
                <w:sz w:val="20"/>
              </w:rPr>
            </w:pPr>
            <w:r>
              <w:rPr>
                <w:rFonts w:cs="Arial" w:ascii="Arial" w:hAnsi="Arial"/>
                <w:sz w:val="20"/>
              </w:rPr>
            </w:r>
          </w:p>
        </w:tc>
        <w:tc>
          <w:tcPr>
            <w:tcW w:w="5040" w:type="dxa"/>
            <w:tcBorders/>
          </w:tcPr>
          <w:p>
            <w:pPr>
              <w:pStyle w:val="Normal"/>
              <w:tabs>
                <w:tab w:val="clear" w:pos="720"/>
                <w:tab w:val="left" w:pos="4572" w:leader="none"/>
              </w:tabs>
              <w:jc w:val="both"/>
              <w:rPr>
                <w:rFonts w:ascii="Arial" w:hAnsi="Arial" w:cs="Arial"/>
                <w:sz w:val="20"/>
              </w:rPr>
            </w:pPr>
            <w:r>
              <w:rPr>
                <w:rFonts w:cs="Arial" w:ascii="Arial" w:hAnsi="Arial"/>
                <w:sz w:val="20"/>
              </w:rPr>
              <w:t xml:space="preserve">FAX # (      ) </w:t>
            </w:r>
          </w:p>
        </w:tc>
      </w:tr>
    </w:tbl>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or at such address as either party may designate in writing.  Routine communications shall be considered as duly delivered as of the postmark date when mailed by ordinary mail.  Operating communications by telephone or other mutually agreeable means shall be considered as duly delivered without subsequent written confirmation, unless written confirmation is requested by either party hereto.</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15.</w:t>
        <w:tab/>
      </w:r>
      <w:r>
        <w:rPr>
          <w:rFonts w:cs="Arial" w:ascii="Arial" w:hAnsi="Arial"/>
          <w:sz w:val="20"/>
          <w:u w:val="single"/>
        </w:rPr>
        <w:t>Miscellaneous</w:t>
      </w:r>
      <w:r>
        <w:rPr>
          <w:rFonts w:cs="Arial" w:ascii="Arial" w:hAnsi="Arial"/>
          <w:sz w:val="20"/>
        </w:rPr>
        <w:t xml:space="preserve"> -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w:t>
        <w:tab/>
        <w:t>This Contract constitutes the entire agreement between the parties and no other representa</w:t>
        <w:softHyphen/>
        <w:t>tions, memoranda, agreements or other matter, oral or written, prior to the date hereof, shall vary, alter or aid the interpretation of the provisions hereof.  The headings and captions in this Contract are for convenience and shall not constitute a part of the agreement or be considered interpretive thereof.</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w:t>
        <w:tab/>
        <w:t>It is further agreed that no modification or change of the terms of this Contract shall be enforceable unless and until such modification or change is reduced to writing and executed by both parties.</w:t>
      </w:r>
    </w:p>
    <w:p>
      <w:pPr>
        <w:pStyle w:val="Normal"/>
        <w:jc w:val="both"/>
        <w:rPr>
          <w:rFonts w:ascii="Arial" w:hAnsi="Arial" w:cs="Arial"/>
          <w:sz w:val="20"/>
        </w:rPr>
      </w:pPr>
      <w:r>
        <w:rPr>
          <w:rFonts w:cs="Arial" w:ascii="Arial" w:hAnsi="Arial"/>
          <w:sz w:val="20"/>
        </w:rPr>
      </w:r>
    </w:p>
    <w:p>
      <w:pPr>
        <w:pStyle w:val="BodyText"/>
        <w:rPr/>
      </w:pPr>
      <w:r>
        <w:rPr/>
        <w:tab/>
        <w:t>C.</w:t>
        <w:tab/>
      </w:r>
      <w:r>
        <w:rPr>
          <w:b/>
        </w:rPr>
        <w:t>EXCEPT AS OTHERWISE SPECIFICALLY PROVIDED HEREIN, IT IS MUTUALLY AGREED THAT SELLER SHALL NOT BE LIABLE FOR ANY SPECIAL, INDIRECT, INCIDENTAL OR CONSEQUENTIAL DAMAGES OF ANY CHARACTER, INCLUDING BUT NOT LIMITED TO ADDITIONAL OUT OF POCKET EXPENSES INCURRED BY BUYER, TORT AND CONTRACT CLAIMS, OR CONSEQUENT PROPERTY DAMAGES SUFFERED BY BUYER, IRRESPECTIVE OF WHETHER CLAIMS OR ACTIONS FOR SUCH DAMAGES ARE BASED UPON CONTRACT, WARRANTY, NEGLIGENCE, STRICT LIABILITY OR OTHERWISE.</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rPr>
        <w:tab/>
        <w:t>D.</w:t>
        <w:tab/>
        <w:t>Any dispute relating to this Contract shall be resolved by binding, self-administered arbitration pursuant to the Commercial Arbitration Rules of the American Arbitration Association ("</w:t>
      </w:r>
      <w:r>
        <w:rPr>
          <w:rFonts w:cs="Arial" w:ascii="Arial" w:hAnsi="Arial"/>
          <w:sz w:val="20"/>
          <w:u w:val="single"/>
        </w:rPr>
        <w:t>AAA</w:t>
      </w:r>
      <w:r>
        <w:rPr>
          <w:rFonts w:cs="Arial" w:ascii="Arial" w:hAnsi="Arial"/>
          <w:sz w:val="20"/>
        </w:rPr>
        <w:t>") and all such proceedings shall be subject to the Federal Arbitration Act.  A single arbitrator shall be selected under the expedited rules of the AAA.  Only damages allowed pursuant to this Contract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E.</w:t>
        <w:tab/>
        <w:t>THIS CONTRACT SHALL BE GOVERNED BY AND CONSTRUED IN ACCORDANCE WITH THE LAWS OF THE STATE OF TEXAS, EXCLUDING ANY CONFLICTS-OF-LAW RULE OR PRINCIPLE WHICH MIGHT REFER SUCH CONSTRUCTION TO THE LAWS OF ANOTHER STATE.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r>
      <w:r>
        <w:br w:type="page"/>
      </w:r>
    </w:p>
    <w:p>
      <w:pPr>
        <w:pStyle w:val="Normal"/>
        <w:jc w:val="both"/>
        <w:rPr>
          <w:rFonts w:ascii="Arial" w:hAnsi="Arial" w:cs="Arial"/>
          <w:sz w:val="20"/>
        </w:rPr>
      </w:pPr>
      <w:r>
        <w:rPr>
          <w:rFonts w:cs="Arial" w:ascii="Arial" w:hAnsi="Arial"/>
          <w:sz w:val="20"/>
        </w:rPr>
        <w:t>IN WITNESS WHEREOF, the parties hereto have caused this Contract to be executed in multiple originals on the ______ day of ______________________, 19__.</w:t>
      </w:r>
    </w:p>
    <w:p>
      <w:pPr>
        <w:pStyle w:val="Normal"/>
        <w:jc w:val="both"/>
        <w:rPr>
          <w:rFonts w:ascii="Arial" w:hAnsi="Arial" w:cs="Arial"/>
          <w:sz w:val="20"/>
        </w:rPr>
      </w:pPr>
      <w:r>
        <w:rPr>
          <w:rFonts w:cs="Arial" w:ascii="Arial" w:hAnsi="Arial"/>
          <w:sz w:val="20"/>
        </w:rPr>
      </w:r>
    </w:p>
    <w:tbl>
      <w:tblPr>
        <w:tblW w:w="4428" w:type="dxa"/>
        <w:jc w:val="start"/>
        <w:tblInd w:w="5040" w:type="dxa"/>
        <w:tblLayout w:type="fixed"/>
        <w:tblCellMar>
          <w:top w:w="0" w:type="dxa"/>
          <w:start w:w="108" w:type="dxa"/>
          <w:bottom w:w="0" w:type="dxa"/>
          <w:end w:w="108" w:type="dxa"/>
        </w:tblCellMar>
      </w:tblPr>
      <w:tblGrid>
        <w:gridCol w:w="4428"/>
      </w:tblGrid>
      <w:tr>
        <w:trPr/>
        <w:tc>
          <w:tcPr>
            <w:tcW w:w="4428" w:type="dxa"/>
            <w:tcBorders/>
          </w:tcPr>
          <w:p>
            <w:pPr>
              <w:pStyle w:val="Normal"/>
              <w:tabs>
                <w:tab w:val="clear" w:pos="720"/>
                <w:tab w:val="left" w:pos="3960" w:leader="none"/>
              </w:tabs>
              <w:jc w:val="both"/>
              <w:rPr>
                <w:rFonts w:ascii="Arial" w:hAnsi="Arial" w:cs="Arial"/>
                <w:sz w:val="20"/>
              </w:rPr>
            </w:pPr>
            <w:r>
              <w:rPr>
                <w:rFonts w:cs="Arial" w:ascii="Arial" w:hAnsi="Arial"/>
                <w:sz w:val="20"/>
              </w:rPr>
              <w:t>HOUSTON PIPE LINE COMPANY</w:t>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jc w:val="both"/>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4428" w:type="dxa"/>
            <w:tcBorders/>
          </w:tcPr>
          <w:p>
            <w:pPr>
              <w:pStyle w:val="Normal"/>
              <w:tabs>
                <w:tab w:val="clear" w:pos="720"/>
                <w:tab w:val="left" w:pos="3960" w:leader="none"/>
              </w:tabs>
              <w:jc w:val="both"/>
              <w:rPr>
                <w:rFonts w:ascii="Arial" w:hAnsi="Arial" w:cs="Arial"/>
                <w:sz w:val="20"/>
              </w:rPr>
            </w:pPr>
            <w:r>
              <w:rPr>
                <w:rFonts w:eastAsia="Arial" w:cs="Arial" w:ascii="Arial" w:hAnsi="Arial"/>
                <w:sz w:val="20"/>
              </w:rPr>
              <w:t xml:space="preserve">      </w:t>
            </w:r>
            <w:r>
              <w:rPr>
                <w:rFonts w:cs="Arial" w:ascii="Arial" w:hAnsi="Arial"/>
                <w:sz w:val="20"/>
              </w:rPr>
              <w:t>Stephen C. Schneider</w:t>
            </w:r>
          </w:p>
        </w:tc>
      </w:tr>
      <w:tr>
        <w:trPr/>
        <w:tc>
          <w:tcPr>
            <w:tcW w:w="4428" w:type="dxa"/>
            <w:tcBorders/>
          </w:tcPr>
          <w:p>
            <w:pPr>
              <w:pStyle w:val="Normal"/>
              <w:tabs>
                <w:tab w:val="clear" w:pos="720"/>
                <w:tab w:val="left" w:pos="3960" w:leader="none"/>
              </w:tabs>
              <w:jc w:val="both"/>
              <w:rPr>
                <w:rFonts w:ascii="Arial" w:hAnsi="Arial" w:cs="Arial"/>
                <w:sz w:val="20"/>
              </w:rPr>
            </w:pPr>
            <w:r>
              <w:rPr>
                <w:rFonts w:eastAsia="Arial" w:cs="Arial" w:ascii="Arial" w:hAnsi="Arial"/>
                <w:sz w:val="20"/>
              </w:rPr>
              <w:t xml:space="preserve">       </w:t>
            </w:r>
            <w:r>
              <w:rPr>
                <w:rFonts w:cs="Arial" w:ascii="Arial" w:hAnsi="Arial"/>
                <w:sz w:val="20"/>
              </w:rPr>
              <w:t>Vice-President</w:t>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jc w:val="center"/>
              <w:rPr>
                <w:rFonts w:ascii="Arial" w:hAnsi="Arial" w:cs="Arial"/>
                <w:sz w:val="20"/>
              </w:rPr>
            </w:pPr>
            <w:r>
              <w:rPr>
                <w:rFonts w:cs="Arial" w:ascii="Arial" w:hAnsi="Arial"/>
                <w:sz w:val="20"/>
              </w:rPr>
              <w:t>"Seller"</w:t>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jc w:val="both"/>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4428" w:type="dxa"/>
            <w:tcBorders/>
          </w:tcPr>
          <w:p>
            <w:pPr>
              <w:pStyle w:val="Normal"/>
              <w:tabs>
                <w:tab w:val="clear" w:pos="720"/>
                <w:tab w:val="left" w:pos="3960" w:leader="none"/>
              </w:tabs>
              <w:jc w:val="both"/>
              <w:rPr>
                <w:rFonts w:ascii="Arial" w:hAnsi="Arial" w:cs="Arial"/>
                <w:sz w:val="20"/>
              </w:rPr>
            </w:pPr>
            <w:r>
              <w:rPr>
                <w:rFonts w:cs="Arial" w:ascii="Arial" w:hAnsi="Arial"/>
                <w:sz w:val="20"/>
              </w:rPr>
              <w:t xml:space="preserve">Name:         </w:t>
            </w:r>
          </w:p>
        </w:tc>
      </w:tr>
      <w:tr>
        <w:trPr/>
        <w:tc>
          <w:tcPr>
            <w:tcW w:w="4428" w:type="dxa"/>
            <w:tcBorders/>
          </w:tcPr>
          <w:p>
            <w:pPr>
              <w:pStyle w:val="Normal"/>
              <w:tabs>
                <w:tab w:val="clear" w:pos="720"/>
                <w:tab w:val="left" w:pos="3960" w:leader="none"/>
              </w:tabs>
              <w:jc w:val="both"/>
              <w:rPr>
                <w:rFonts w:ascii="Arial" w:hAnsi="Arial" w:cs="Arial"/>
                <w:sz w:val="20"/>
              </w:rPr>
            </w:pPr>
            <w:r>
              <w:rPr>
                <w:rFonts w:cs="Arial" w:ascii="Arial" w:hAnsi="Arial"/>
                <w:sz w:val="20"/>
              </w:rPr>
              <w:t xml:space="preserve">Title: </w:t>
            </w:r>
          </w:p>
        </w:tc>
      </w:tr>
      <w:tr>
        <w:trPr/>
        <w:tc>
          <w:tcPr>
            <w:tcW w:w="4428" w:type="dxa"/>
            <w:tcBorders/>
          </w:tcPr>
          <w:p>
            <w:pPr>
              <w:pStyle w:val="Normal"/>
              <w:tabs>
                <w:tab w:val="clear" w:pos="720"/>
                <w:tab w:val="left" w:pos="3960" w:leader="none"/>
              </w:tabs>
              <w:snapToGrid w:val="false"/>
              <w:jc w:val="both"/>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ind w:end="432"/>
              <w:jc w:val="center"/>
              <w:rPr>
                <w:rFonts w:ascii="Arial" w:hAnsi="Arial" w:cs="Arial"/>
                <w:sz w:val="20"/>
              </w:rPr>
            </w:pPr>
            <w:r>
              <w:rPr>
                <w:rFonts w:cs="Arial" w:ascii="Arial" w:hAnsi="Arial"/>
                <w:sz w:val="20"/>
              </w:rPr>
              <w:t>"Buyer"</w:t>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rFonts w:ascii="Arial" w:hAnsi="Arial" w:cs="Arial"/>
          <w:sz w:val="20"/>
          <w:u w:val="single"/>
        </w:rPr>
      </w:pPr>
      <w:r>
        <w:rPr>
          <w:rFonts w:cs="Arial" w:ascii="Arial" w:hAnsi="Arial"/>
          <w:sz w:val="20"/>
          <w:u w:val="single"/>
        </w:rPr>
      </w:r>
    </w:p>
    <w:p>
      <w:pPr>
        <w:pStyle w:val="Normal"/>
        <w:jc w:val="center"/>
        <w:rPr>
          <w:rFonts w:ascii="Arial" w:hAnsi="Arial" w:cs="Arial"/>
          <w:sz w:val="20"/>
        </w:rPr>
      </w:pPr>
      <w:r>
        <w:rPr>
          <w:rFonts w:cs="Arial" w:ascii="Arial" w:hAnsi="Arial"/>
          <w:sz w:val="20"/>
          <w:u w:val="single"/>
        </w:rPr>
        <w:t>EXEMPTION CERTIFICATE</w:t>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For Natural Gas Delivered By</w:t>
      </w:r>
    </w:p>
    <w:p>
      <w:pPr>
        <w:pStyle w:val="Normal"/>
        <w:jc w:val="center"/>
        <w:rPr>
          <w:rFonts w:ascii="Arial" w:hAnsi="Arial" w:cs="Arial"/>
          <w:sz w:val="20"/>
        </w:rPr>
      </w:pPr>
      <w:r>
        <w:rPr>
          <w:rFonts w:cs="Arial" w:ascii="Arial" w:hAnsi="Arial"/>
          <w:sz w:val="20"/>
        </w:rPr>
        <w:t>HOUSTON PIPE LINE COMPANY ("Seller")</w:t>
      </w:r>
    </w:p>
    <w:p>
      <w:pPr>
        <w:pStyle w:val="Normal"/>
        <w:jc w:val="center"/>
        <w:rPr>
          <w:rFonts w:ascii="Arial" w:hAnsi="Arial" w:cs="Arial"/>
          <w:sz w:val="20"/>
        </w:rPr>
      </w:pPr>
      <w:r>
        <w:rPr>
          <w:rFonts w:cs="Arial" w:ascii="Arial" w:hAnsi="Arial"/>
          <w:sz w:val="20"/>
        </w:rPr>
        <w:t>To _____________________________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Buyer's Direct Payment Authorization Number:  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undersigned hereby claims an exemption from payment of taxes under Tax Code, Vernon Texas Code Annotated, Chapter 151 for the purchase and delivery of natural gas from Seller.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reason that Buyer is claiming this exemption is:</w:t>
      </w:r>
    </w:p>
    <w:p>
      <w:pPr>
        <w:pStyle w:val="Normal"/>
        <w:rPr>
          <w:rFonts w:ascii="Arial" w:hAnsi="Arial" w:cs="Arial"/>
          <w:sz w:val="20"/>
        </w:rPr>
      </w:pPr>
      <w:r>
        <w:rPr>
          <w:rFonts w:cs="Arial" w:ascii="Arial" w:hAnsi="Arial"/>
          <w:sz w:val="20"/>
        </w:rPr>
      </w:r>
    </w:p>
    <w:p>
      <w:pPr>
        <w:pStyle w:val="Normal"/>
        <w:ind w:firstLine="720" w:start="720" w:end="0"/>
        <w:rPr>
          <w:rFonts w:ascii="Arial" w:hAnsi="Arial" w:cs="Arial"/>
          <w:sz w:val="20"/>
        </w:rPr>
      </w:pPr>
      <w:r>
        <w:rPr>
          <w:rFonts w:eastAsia="Arial" w:cs="Arial" w:ascii="Arial" w:hAnsi="Arial"/>
          <w:sz w:val="20"/>
        </w:rPr>
        <w:t xml:space="preserve"> </w:t>
      </w:r>
      <w:r>
        <w:rPr>
          <w:rFonts w:cs="Arial" w:ascii="Arial" w:hAnsi="Arial"/>
          <w:sz w:val="20"/>
        </w:rPr>
        <w:t xml:space="preserve">Gas is for use in producing a material extracted from the earth. </w:t>
      </w:r>
    </w:p>
    <w:p>
      <w:pPr>
        <w:pStyle w:val="Normal"/>
        <w:ind w:firstLine="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Buyer will be liable for payment of the Limited Sales and Use Tax if Buyer uses the natural gas in some manner other than the reason listed above, and shall pay the tax based on the price paid for the natural gas.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This exemption is claimed for, and this exemption certificate shall apply to, all gas delivered to Buyer by Seller on and after the date hereof, and shall be effective until revoked by written notice to Seller by Buyer.  If this exemption is disal</w:t>
        <w:softHyphen/>
        <w:t>lowed for any reason by the State for any part or all of the gas delivered, Buyer will pay direct to the State any tax and penalty due.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Executed this the _______ day of ______________, 19___.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4428" w:type="dxa"/>
        <w:jc w:val="start"/>
        <w:tblInd w:w="5040" w:type="dxa"/>
        <w:tblLayout w:type="fixed"/>
        <w:tblCellMar>
          <w:top w:w="0" w:type="dxa"/>
          <w:start w:w="108" w:type="dxa"/>
          <w:bottom w:w="0" w:type="dxa"/>
          <w:end w:w="108" w:type="dxa"/>
        </w:tblCellMar>
      </w:tblPr>
      <w:tblGrid>
        <w:gridCol w:w="4428"/>
      </w:tblGrid>
      <w:tr>
        <w:trPr/>
        <w:tc>
          <w:tcPr>
            <w:tcW w:w="4428" w:type="dxa"/>
            <w:tcBorders/>
          </w:tcPr>
          <w:p>
            <w:pPr>
              <w:pStyle w:val="Normal"/>
              <w:tabs>
                <w:tab w:val="clear" w:pos="720"/>
                <w:tab w:val="left" w:pos="3960" w:leader="none"/>
              </w:tabs>
              <w:rPr>
                <w:rFonts w:ascii="Arial" w:hAnsi="Arial" w:cs="Arial"/>
                <w:sz w:val="20"/>
              </w:rPr>
            </w:pPr>
            <w:r>
              <w:rPr>
                <w:rFonts w:cs="Arial" w:ascii="Arial" w:hAnsi="Arial"/>
                <w:sz w:val="20"/>
              </w:rPr>
              <w:t>[Buyer's Name]</w:t>
            </w:r>
          </w:p>
        </w:tc>
      </w:tr>
      <w:tr>
        <w:trPr/>
        <w:tc>
          <w:tcPr>
            <w:tcW w:w="4428" w:type="dxa"/>
            <w:tcBorders/>
          </w:tcPr>
          <w:p>
            <w:pPr>
              <w:pStyle w:val="Normal"/>
              <w:tabs>
                <w:tab w:val="clear" w:pos="720"/>
                <w:tab w:val="left" w:pos="3960" w:leader="none"/>
              </w:tabs>
              <w:snapToGrid w:val="false"/>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snapToGrid w:val="false"/>
              <w:rPr>
                <w:rFonts w:ascii="Arial" w:hAnsi="Arial" w:cs="Arial"/>
                <w:sz w:val="20"/>
              </w:rPr>
            </w:pPr>
            <w:r>
              <w:rPr>
                <w:rFonts w:cs="Arial" w:ascii="Arial" w:hAnsi="Arial"/>
                <w:sz w:val="20"/>
              </w:rPr>
            </w:r>
          </w:p>
        </w:tc>
      </w:tr>
      <w:tr>
        <w:trPr/>
        <w:tc>
          <w:tcPr>
            <w:tcW w:w="4428" w:type="dxa"/>
            <w:tcBorders/>
          </w:tcPr>
          <w:p>
            <w:pPr>
              <w:pStyle w:val="Normal"/>
              <w:tabs>
                <w:tab w:val="clear" w:pos="720"/>
                <w:tab w:val="left" w:pos="3960"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4428" w:type="dxa"/>
            <w:tcBorders/>
          </w:tcPr>
          <w:p>
            <w:pPr>
              <w:pStyle w:val="Normal"/>
              <w:tabs>
                <w:tab w:val="clear" w:pos="720"/>
                <w:tab w:val="left" w:pos="3960" w:leader="none"/>
              </w:tabs>
              <w:rPr>
                <w:rFonts w:ascii="Arial" w:hAnsi="Arial" w:cs="Arial"/>
                <w:sz w:val="20"/>
              </w:rPr>
            </w:pPr>
            <w:r>
              <w:rPr>
                <w:rFonts w:cs="Arial" w:ascii="Arial" w:hAnsi="Arial"/>
                <w:sz w:val="20"/>
              </w:rPr>
              <w:t xml:space="preserve">Name:         </w:t>
            </w:r>
          </w:p>
        </w:tc>
      </w:tr>
      <w:tr>
        <w:trPr/>
        <w:tc>
          <w:tcPr>
            <w:tcW w:w="4428" w:type="dxa"/>
            <w:tcBorders/>
          </w:tcPr>
          <w:p>
            <w:pPr>
              <w:pStyle w:val="Normal"/>
              <w:tabs>
                <w:tab w:val="clear" w:pos="720"/>
                <w:tab w:val="left" w:pos="3960" w:leader="none"/>
              </w:tabs>
              <w:rPr>
                <w:rFonts w:ascii="Arial" w:hAnsi="Arial" w:cs="Arial"/>
                <w:sz w:val="20"/>
              </w:rPr>
            </w:pPr>
            <w:r>
              <w:rPr>
                <w:rFonts w:cs="Arial" w:ascii="Arial" w:hAnsi="Arial"/>
                <w:sz w:val="20"/>
              </w:rPr>
              <w:t xml:space="preserve">Title:         </w:t>
            </w:r>
          </w:p>
        </w:tc>
      </w:tr>
    </w:tbl>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tab/>
    </w:r>
    <w:r>
      <w:rPr>
        <w:rFonts w:cs="Arial" w:ascii="Arial" w:hAnsi="Arial"/>
        <w:sz w:val="20"/>
      </w:rPr>
      <w:fldChar w:fldCharType="begin"/>
    </w:r>
    <w:r>
      <w:rPr>
        <w:sz w:val="20"/>
        <w:rFonts w:cs="Arial" w:ascii="Arial" w:hAnsi="Arial"/>
      </w:rPr>
      <w:instrText xml:space="preserve"> PAGE </w:instrText>
    </w:r>
    <w:r>
      <w:rPr>
        <w:sz w:val="20"/>
        <w:rFonts w:cs="Arial" w:ascii="Arial" w:hAnsi="Arial"/>
      </w:rPr>
      <w:fldChar w:fldCharType="separate"/>
    </w:r>
    <w:r>
      <w:rPr>
        <w:sz w:val="20"/>
        <w:rFonts w:cs="Arial" w:ascii="Arial" w:hAnsi="Arial"/>
      </w:rPr>
      <w:t>6</w:t>
    </w:r>
    <w:r>
      <w:rPr>
        <w:sz w:val="20"/>
        <w:rFonts w:cs="Arial" w:ascii="Arial" w:hAnsi="Arial"/>
      </w:rPr>
      <w:fldChar w:fldCharType="end"/>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t>o:\common\Legal\aewhite\Contracts\Gas Lift Contract Form</w:t>
    </w:r>
  </w:p>
  <w:p>
    <w:pPr>
      <w:pStyle w:val="Footer"/>
      <w:rPr>
        <w:rFonts w:ascii="Arial" w:hAnsi="Arial" w:cs="Arial"/>
        <w:sz w:val="14"/>
      </w:rPr>
    </w:pPr>
    <w:r>
      <w:rPr>
        <w:rFonts w:cs="Arial" w:ascii="Arial" w:hAnsi="Arial"/>
        <w:sz w:val="14"/>
      </w:rPr>
      <w:t>(Rev. 2/99).doc</w:t>
    </w:r>
  </w:p>
  <w:p>
    <w:pPr>
      <w:pStyle w:val="Footer"/>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20"/>
      </w:rPr>
      <w:tab/>
    </w:r>
    <w:r>
      <w:rPr>
        <w:rFonts w:cs="Arial" w:ascii="Arial" w:hAnsi="Arial"/>
        <w:sz w:val="20"/>
      </w:rPr>
      <w:fldChar w:fldCharType="begin"/>
    </w:r>
    <w:r>
      <w:rPr>
        <w:sz w:val="20"/>
        <w:rFonts w:cs="Arial" w:ascii="Arial" w:hAnsi="Arial"/>
      </w:rPr>
      <w:instrText xml:space="preserve"> PAGE </w:instrText>
    </w:r>
    <w:r>
      <w:rPr>
        <w:sz w:val="20"/>
        <w:rFonts w:cs="Arial" w:ascii="Arial" w:hAnsi="Arial"/>
      </w:rPr>
      <w:fldChar w:fldCharType="separate"/>
    </w:r>
    <w:r>
      <w:rPr>
        <w:sz w:val="20"/>
        <w:rFonts w:cs="Arial" w:ascii="Arial" w:hAnsi="Arial"/>
      </w:rPr>
      <w:t>7</w:t>
    </w:r>
    <w:r>
      <w:rPr>
        <w:sz w:val="20"/>
        <w:rFonts w:cs="Arial" w:ascii="Arial" w:hAnsi="Arial"/>
      </w:rPr>
      <w:fldChar w:fldCharType="end"/>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t>o:\common\Legal\aewhite\Contracts\Gas Lift Contract Form</w:t>
    </w:r>
  </w:p>
  <w:p>
    <w:pPr>
      <w:pStyle w:val="Footer"/>
      <w:rPr>
        <w:rFonts w:ascii="Arial" w:hAnsi="Arial" w:cs="Arial"/>
        <w:sz w:val="14"/>
      </w:rPr>
    </w:pPr>
    <w:r>
      <w:rPr>
        <w:rFonts w:cs="Arial" w:ascii="Arial" w:hAnsi="Arial"/>
        <w:sz w:val="14"/>
      </w:rPr>
      <w:t>(Rev. 2/99).doc</w:t>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2000-10-31T21:01:00Z</dcterms:created>
  <dc:creator>appinst</dc:creator>
  <dc:description/>
  <dc:language>en-CA</dc:language>
  <cp:lastModifiedBy>egillas</cp:lastModifiedBy>
  <cp:lastPrinted>2000-11-01T14:32:00Z</cp:lastPrinted>
  <dcterms:modified xsi:type="dcterms:W3CDTF">2000-11-01T21:08:00Z</dcterms:modified>
  <cp:revision>4</cp:revision>
  <dc:subject/>
  <dc:title>GAS SALES CONTRACT</dc:title>
</cp:coreProperties>
</file>