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0"/>
        </w:rPr>
      </w:pPr>
      <w:r>
        <w:rPr>
          <w:b/>
          <w:sz w:val="20"/>
        </w:rPr>
        <w:t>Merger Agreement</w:t>
      </w:r>
    </w:p>
    <w:p>
      <w:pPr>
        <w:pStyle w:val="BodyText"/>
        <w:ind w:firstLine="720" w:end="0"/>
        <w:rPr>
          <w:sz w:val="20"/>
        </w:rPr>
      </w:pPr>
      <w:r>
        <w:rPr>
          <w:sz w:val="20"/>
        </w:rPr>
        <w:t xml:space="preserve">On November 9, 2001, Enron, Dynegy, Stanford, Inc., a Delaware corporation and a wholly owned subsidiary of Dynegy (New Dynegy), Sorin, Inc., a wholly owned subsidiary of New Dynegy (Enron Merger Sub), Badin, Inc., a wholly owned subsidiary of New Dynegy (Dynegy Merger Sub), entered into a merger agreement, whereby, subject to the conditions stated therein, (i) Enron Merger Sub will merge with and into Enron, with Enron surviving as a wholly owned subsidiary of New Dynegy and (ii) Dynegy Merger Sub will merge with and into Dynegy, with Dynegy surviving as a wholly owned subsidiary of New Dynegy.  At the effective time of the mergers, (1) each issued and outstanding share of common stock of Enron will be converted into 0.2685 shares of Class A common stock of New Dynegy, referred to as the Enron merger ratio, (2) each issued and outstanding share of Class A common stock of Dynegy will be converted into one share of Class A common Stock of New Dynegy and (3) each issued and outstanding share of Class B common stock of Dynegy will be converted into one share of Class B common stock of New Dynegy. </w:t>
      </w:r>
    </w:p>
    <w:p>
      <w:pPr>
        <w:pStyle w:val="BodyText"/>
        <w:ind w:firstLine="720" w:end="0"/>
        <w:rPr>
          <w:sz w:val="20"/>
        </w:rPr>
      </w:pPr>
      <w:r>
        <w:rPr>
          <w:sz w:val="20"/>
        </w:rPr>
        <w:t>Under the merger agreement, Enron is entitled to issue up to $2 billion of additional equity securities prior to consummation of the mergers.  However, the Enron merger ratio is subject to downward adjustment if Enron issues equity securities at an equivalent Enron common stock price that is less than the product of (1) the existing Enron merger ratio and (2) the last reported price of Dynegy Class A common stock as reported on the New York Stock Exchange on the day that a price is determined pursuant to a binding agreement for such issuance.</w:t>
      </w:r>
    </w:p>
    <w:p>
      <w:pPr>
        <w:pStyle w:val="BodyText"/>
        <w:ind w:firstLine="720" w:end="0"/>
        <w:rPr>
          <w:sz w:val="20"/>
        </w:rPr>
      </w:pPr>
      <w:r>
        <w:rPr>
          <w:sz w:val="20"/>
        </w:rPr>
        <w:t>The merger agreement provides that the parties will cooperate with each other in analyzing and determining a structure that results in a single corporation with substantially all the senior debt (other than that of regulated utility subsidiaries) of Dynegy, Dynegy Holdings Inc., a subsidiary of Dynegy, and Enron, and will promptly execute an appropriate amendment to the merger agreement to reflect such structure.</w:t>
      </w:r>
    </w:p>
    <w:p>
      <w:pPr>
        <w:pStyle w:val="BodyText"/>
        <w:ind w:firstLine="720" w:end="0"/>
        <w:rPr>
          <w:sz w:val="20"/>
        </w:rPr>
      </w:pPr>
      <w:r>
        <w:rPr>
          <w:sz w:val="20"/>
        </w:rPr>
        <w:t>The closing of the mergers will occur on the first business day immediately following the day on which all of the conditions to the mergers contained in the merger agreement have been fulfilled or waived or on such other date as Dynegy and Enron may agree, but in no event prior to the expiration of a period of six months after the initial purchase of shares of Dynegy Series B preferred stock by ChevronTexaco Corporation as described below.  The closing of the mergers is conditioned upon the approval of the shareholders of both Dynegy and Enron, the receipt of applicable regulatory approvals, including the expiration or termination of the waiting period prescribed by the Hart-Scott-Rodino Antitrust Improvements Act of 1976, as amended, and other customary conditions, including the absence of any event after November 9, 2001 that would have a material adverse effect on Enron, excluding the effects of general economic and industry conditions.  Under the merger agreement, if Enron’s liabilities and expenses from and after November 9, 2001 associated with all pending or threatened litigation matters, in the reasonable judgment of Dynegy exercised in good faith after consultation with outside counsel experienced in such types of litigation, exceed, or are reasonably likely to exceed, $2 billion in the aggregate (net of proceeds of insurance and litigation reserves reflected in Enron’s financial statements), the amount of such excess over $2 billion will be taken into account in determining whether a material adverse effect on Enron has occurred, and, in any event, if the amount of such excess exceeds, or is reasonably likely to exceed, $1.5 billion, a material adverse effect on Enron will be deemed to have occurred.</w:t>
      </w:r>
    </w:p>
    <w:p>
      <w:pPr>
        <w:pStyle w:val="BodyText"/>
        <w:ind w:firstLine="720" w:end="0"/>
        <w:rPr>
          <w:sz w:val="20"/>
        </w:rPr>
      </w:pPr>
      <w:r>
        <w:rPr>
          <w:sz w:val="20"/>
        </w:rPr>
        <w:t>In connection with the execution and delivery of the merger agreement, each of Chevron U.S.A. Inc., the holder of approximately 27% of the outstanding Dynegy common stock, and Charles L. Watson, the Chairman of the Board and Chief Executive Officer of Dynegy, have entered into a shareholder agreement with Enron, pursuant to which each has agreed to vote its or his shares of Dynegy common stock in favor of the transactions contemplated by the merger agreement and to refrain from soliciting a competing transaction to the mergers.</w:t>
      </w:r>
    </w:p>
    <w:p>
      <w:pPr>
        <w:pStyle w:val="BodyText"/>
        <w:spacing w:before="0" w:after="240"/>
        <w:ind w:firstLine="720" w:end="0"/>
        <w:rPr>
          <w:sz w:val="20"/>
        </w:rPr>
      </w:pPr>
      <w:r>
        <w:rPr>
          <w:sz w:val="20"/>
        </w:rPr>
        <w:t xml:space="preserve">The merger agreement and the two shareholder agreements were included as Exhibits 10.1, 10.2 and 10.3, respectively, to Enron’s Form 8-K filed with the Securities and Exchange Commission on November 14, 2001.   The foregoing description of the merger agreement and the shareholder agreements, and the transactions contemplated in such documents, is qualified in its entirety by reference to such documents. </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HOU03:812423.1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style>
  <w:style w:type="paragraph" w:styleId="Heading8">
    <w:name w:val="heading 8"/>
    <w:basedOn w:val="Normal"/>
    <w:next w:val="BodyText"/>
    <w:qFormat/>
    <w:pPr>
      <w:numPr>
        <w:ilvl w:val="7"/>
        <w:numId w:val="1"/>
      </w:numPr>
      <w:spacing w:before="0" w:after="240"/>
      <w:outlineLvl w:val="7"/>
    </w:pPr>
    <w:rPr/>
  </w:style>
  <w:style w:type="paragraph" w:styleId="Heading9">
    <w:name w:val="heading 9"/>
    <w:basedOn w:val="Normal"/>
    <w:next w:val="BodyText"/>
    <w:qFormat/>
    <w:pPr>
      <w:numPr>
        <w:ilvl w:val="8"/>
        <w:numId w:val="1"/>
      </w:numPr>
      <w:spacing w:before="0" w:after="240"/>
      <w:outlineLvl w:val="8"/>
    </w:pPr>
    <w:rPr/>
  </w:style>
  <w:style w:type="character" w:styleId="DefaultParagraphFont">
    <w:name w:val="Default Paragraph Font"/>
    <w:qFormat/>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Subtitle">
    <w:name w:val="Subtitle"/>
    <w:basedOn w:val="Normal"/>
    <w:next w:val="BodyText"/>
    <w:qFormat/>
    <w:pPr>
      <w:jc w:val="center"/>
    </w:pPr>
    <w:rPr/>
  </w:style>
  <w:style w:type="paragraph" w:styleId="TOAHeading">
    <w:name w:val="TOA Heading"/>
    <w:basedOn w:val="Normal"/>
    <w:next w:val="Normal"/>
    <w:qFormat/>
    <w:pPr>
      <w:spacing w:before="120" w:after="0"/>
    </w:pPr>
    <w:rPr>
      <w:b/>
    </w:rPr>
  </w:style>
  <w:style w:type="paragraph" w:styleId="Closing">
    <w:name w:val="Closing"/>
    <w:basedOn w:val="Normal"/>
    <w:qFormat/>
    <w:pPr>
      <w:ind w:hanging="0" w:start="50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16"/>
    </w:rPr>
  </w:style>
  <w:style w:type="paragraph" w:styleId="Header">
    <w:name w:val="header"/>
    <w:basedOn w:val="Normal"/>
    <w:pPr>
      <w:tabs>
        <w:tab w:val="clear" w:pos="720"/>
        <w:tab w:val="center" w:pos="4680" w:leader="none"/>
        <w:tab w:val="right" w:pos="9360" w:leader="none"/>
      </w:tabs>
    </w:pPr>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BodyTextFirstIndent">
    <w:name w:val="Body Text First Indent"/>
    <w:basedOn w:val="BodyText"/>
    <w:qFormat/>
    <w:pPr>
      <w:ind w:firstLine="1440" w:start="0" w:end="0"/>
    </w:pPr>
    <w:rPr/>
  </w:style>
  <w:style w:type="paragraph" w:styleId="BlockText">
    <w:name w:val="Block Text"/>
    <w:basedOn w:val="Normal"/>
    <w:qFormat/>
    <w:pPr>
      <w:spacing w:before="0" w:after="240"/>
      <w:ind w:hanging="0" w:start="1440" w:end="144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firstLine="1440" w:start="720" w:end="0"/>
    </w:pPr>
    <w:rPr/>
  </w:style>
  <w:style w:type="paragraph" w:styleId="BodyTextIndent2">
    <w:name w:val="Body Text Indent 2"/>
    <w:basedOn w:val="Normal"/>
    <w:qFormat/>
    <w:pPr>
      <w:spacing w:lineRule="auto" w:line="480" w:before="0" w:after="120"/>
      <w:ind w:hanging="0" w:start="720" w:end="0"/>
    </w:pPr>
    <w:rPr/>
  </w:style>
  <w:style w:type="paragraph" w:styleId="BodyTextIndent3">
    <w:name w:val="Body Text Indent 3"/>
    <w:basedOn w:val="Normal"/>
    <w:qFormat/>
    <w:pPr>
      <w:spacing w:before="0" w:after="240"/>
      <w:ind w:hanging="0" w:start="720" w:end="0"/>
    </w:pPr>
    <w:rPr/>
  </w:style>
  <w:style w:type="paragraph" w:styleId="Date">
    <w:name w:val="Date"/>
    <w:basedOn w:val="Normal"/>
    <w:next w:val="BodyText"/>
    <w:qFormat/>
    <w:pPr/>
    <w:rPr/>
  </w:style>
  <w:style w:type="paragraph" w:styleId="NoteHeading">
    <w:name w:val="Note Heading"/>
    <w:basedOn w:val="Normal"/>
    <w:next w:val="BodyText"/>
    <w:qFormat/>
    <w:pPr/>
    <w:rPr/>
  </w:style>
  <w:style w:type="paragraph" w:styleId="Salutation">
    <w:name w:val="Salutation"/>
    <w:basedOn w:val="Normal"/>
    <w:next w:val="BodyText"/>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2001-11-16T17:25:00Z</dcterms:created>
  <dc:creator> </dc:creator>
  <dc:description>HOU03:812423.1</dc:description>
  <dc:language>en-CA</dc:language>
  <cp:lastModifiedBy>Paula Rieker</cp:lastModifiedBy>
  <cp:lastPrinted>2001-11-13T11:28:00Z</cp:lastPrinted>
  <dcterms:modified xsi:type="dcterms:W3CDTF">2001-11-16T17:25:00Z</dcterms:modified>
  <cp:revision>2</cp:revision>
  <dc:subject/>
  <dc:title>Merger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