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May 16, 2001</w:t>
      </w:r>
    </w:p>
    <w:p>
      <w:pPr>
        <w:pStyle w:val="Normal"/>
        <w:rPr>
          <w:sz w:val="22"/>
        </w:rPr>
      </w:pPr>
      <w:r>
        <w:rPr>
          <w:sz w:val="22"/>
        </w:rPr>
        <w:t>To:</w:t>
        <w:tab/>
        <w:tab/>
        <w:t>Merchant Energy Group of the Americas, Inc. ("Party B")</w:t>
      </w:r>
    </w:p>
    <w:p>
      <w:pPr>
        <w:pStyle w:val="Normal"/>
        <w:rPr>
          <w:sz w:val="22"/>
        </w:rPr>
      </w:pPr>
      <w:r>
        <w:rPr>
          <w:sz w:val="22"/>
        </w:rPr>
        <w:t>Attention:</w:t>
        <w:tab/>
        <w:t>Travis Brock</w:t>
      </w:r>
    </w:p>
    <w:p>
      <w:pPr>
        <w:pStyle w:val="Normal"/>
        <w:rPr>
          <w:sz w:val="22"/>
        </w:rPr>
      </w:pPr>
      <w:r>
        <w:rPr>
          <w:sz w:val="22"/>
        </w:rPr>
        <w:t>Fax No.:</w:t>
        <w:tab/>
        <w:t>(410) 295-1751</w:t>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May 16,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September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6690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200,700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An amount equal to $2,787,500 plus the sum of the products of (i) the First Floating Price for each day during the Calculation Period and (ii)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25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18,000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p>
            <w:pPr>
              <w:pStyle w:val="Normal"/>
              <w:rPr>
                <w:sz w:val="22"/>
              </w:rPr>
            </w:pPr>
            <w:r>
              <w:rPr>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2"/>
                <w:u w:val="single"/>
                <w:lang w:val="en-CA" w:eastAsia="en-CA"/>
              </w:rPr>
            </w:pPr>
            <w:r>
              <w:rPr>
                <w:sz w:val="22"/>
                <w:u w:val="single"/>
                <w:lang w:val="en-CA" w:eastAsia="en-CA"/>
              </w:rPr>
            </w:r>
          </w:p>
        </w:tc>
      </w:tr>
      <w:tr>
        <w:trPr/>
        <w:tc>
          <w:tcPr>
            <w:tcW w:w="4338" w:type="dxa"/>
            <w:tcBorders/>
          </w:tcPr>
          <w:p>
            <w:pPr>
              <w:pStyle w:val="Normal"/>
              <w:ind w:firstLine="720" w:end="0"/>
              <w:rPr>
                <w:sz w:val="22"/>
              </w:rPr>
            </w:pPr>
            <w:r>
              <w:rPr>
                <w:sz w:val="22"/>
              </w:rPr>
              <w:t>Second Floating Amount:</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2"/>
                <w:lang w:val="en-CA" w:eastAsia="en-CA"/>
              </w:rPr>
            </w:pPr>
            <w:r>
              <w:rPr>
                <w:sz w:val="22"/>
                <w:lang w:val="en-CA" w:eastAsia="en-CA"/>
              </w:rPr>
              <w:t>An amount equal to the sum of the products of (i) the Second Floating Price for each hour during the Calculation Period and (ii) the Notional Quantity per Calculation Period.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Tim Belden</w:t>
            </w:r>
          </w:p>
          <w:p>
            <w:pPr>
              <w:pStyle w:val="Normal"/>
              <w:keepLines/>
              <w:rPr>
                <w:sz w:val="22"/>
              </w:rPr>
            </w:pPr>
            <w:r>
              <w:rPr>
                <w:sz w:val="22"/>
              </w:rPr>
              <w:t xml:space="preserve">Title:   Managing Director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r>
      <w:rPr/>
      <w:t>613221.01</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2001-05-16T14:53:00Z</dcterms:created>
  <dc:creator>EOL#</dc:creator>
  <dc:description/>
  <dc:language>en-CA</dc:language>
  <cp:lastModifiedBy>mmurphy</cp:lastModifiedBy>
  <dcterms:modified xsi:type="dcterms:W3CDTF">2001-05-17T12:03:00Z</dcterms:modified>
  <cp:revision>9</cp:revision>
  <dc:subject/>
  <dc:title> </dc:title>
</cp:coreProperties>
</file>