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William M. Mercer is the leading global consulting organization that partners with our clients in all aspects of strategic and operational human resource consulting and implementation. Our special areas of emphasis include compensation, communication, actuarial services, investment issues, productivity and the strategic role of the HR function of client companies. Mercer seeks to combine these capabilities – across practice lines and globally – to address clients’ top business priorities such as:</w:t>
      </w:r>
    </w:p>
    <w:p>
      <w:pPr>
        <w:pStyle w:val="Normal"/>
        <w:rPr>
          <w:rFonts w:ascii="Arial" w:hAnsi="Arial" w:cs="Arial"/>
        </w:rPr>
      </w:pPr>
      <w:r>
        <w:rPr>
          <w:rFonts w:cs="Arial" w:ascii="Arial" w:hAnsi="Arial"/>
        </w:rPr>
      </w:r>
    </w:p>
    <w:p>
      <w:pPr>
        <w:pStyle w:val="Normal"/>
        <w:numPr>
          <w:ilvl w:val="0"/>
          <w:numId w:val="18"/>
        </w:numPr>
        <w:rPr>
          <w:rFonts w:ascii="Arial" w:hAnsi="Arial" w:cs="Arial"/>
        </w:rPr>
      </w:pPr>
      <w:r>
        <w:rPr>
          <w:rFonts w:cs="Arial" w:ascii="Arial" w:hAnsi="Arial"/>
        </w:rPr>
        <w:t>Mergers and acquisitions integration</w:t>
      </w:r>
    </w:p>
    <w:p>
      <w:pPr>
        <w:pStyle w:val="Normal"/>
        <w:numPr>
          <w:ilvl w:val="0"/>
          <w:numId w:val="18"/>
        </w:numPr>
        <w:rPr>
          <w:rFonts w:ascii="Arial" w:hAnsi="Arial" w:cs="Arial"/>
        </w:rPr>
      </w:pPr>
      <w:r>
        <w:rPr>
          <w:rFonts w:cs="Arial" w:ascii="Arial" w:hAnsi="Arial"/>
        </w:rPr>
        <w:t>Linking employee commitment to customer preferences</w:t>
      </w:r>
    </w:p>
    <w:p>
      <w:pPr>
        <w:pStyle w:val="Normal"/>
        <w:numPr>
          <w:ilvl w:val="0"/>
          <w:numId w:val="18"/>
        </w:numPr>
        <w:rPr>
          <w:rFonts w:ascii="Arial" w:hAnsi="Arial" w:cs="Arial"/>
        </w:rPr>
      </w:pPr>
      <w:r>
        <w:rPr>
          <w:rFonts w:cs="Arial" w:ascii="Arial" w:hAnsi="Arial"/>
        </w:rPr>
        <w:t>Attracting and retaining the right employees</w:t>
      </w:r>
    </w:p>
    <w:p>
      <w:pPr>
        <w:pStyle w:val="Normal"/>
        <w:numPr>
          <w:ilvl w:val="0"/>
          <w:numId w:val="18"/>
        </w:numPr>
        <w:rPr>
          <w:rFonts w:ascii="Arial" w:hAnsi="Arial" w:cs="Arial"/>
        </w:rPr>
      </w:pPr>
      <w:r>
        <w:rPr>
          <w:rFonts w:cs="Arial" w:ascii="Arial" w:hAnsi="Arial"/>
        </w:rPr>
        <w:t>HR implications of e-business and globalization.</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Mission</w:t>
      </w:r>
    </w:p>
    <w:p>
      <w:pPr>
        <w:pStyle w:val="Normal"/>
        <w:rPr>
          <w:rFonts w:ascii="Arial" w:hAnsi="Arial" w:cs="Arial"/>
        </w:rPr>
      </w:pPr>
      <w:r>
        <w:rPr>
          <w:rFonts w:cs="Arial" w:ascii="Arial" w:hAnsi="Arial"/>
        </w:rPr>
        <w:t>The mission of William M. Mercer is to help clients use the power of their people to enhance their business success.</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Company Facts</w:t>
      </w:r>
    </w:p>
    <w:p>
      <w:pPr>
        <w:pStyle w:val="Normal"/>
        <w:rPr>
          <w:rFonts w:ascii="Arial" w:hAnsi="Arial" w:cs="Arial"/>
        </w:rPr>
      </w:pPr>
      <w:r>
        <w:rPr>
          <w:rFonts w:cs="Arial" w:ascii="Arial" w:hAnsi="Arial"/>
        </w:rPr>
        <w:t xml:space="preserve">Mercer has some 13,000 employees in offices in more than 132 cities in 37 countries and territories. </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Benefits Administration</w:t>
      </w:r>
    </w:p>
    <w:p>
      <w:pPr>
        <w:pStyle w:val="Normal"/>
        <w:numPr>
          <w:ilvl w:val="0"/>
          <w:numId w:val="20"/>
        </w:numPr>
        <w:rPr>
          <w:rFonts w:ascii="Arial" w:hAnsi="Arial" w:cs="Arial"/>
        </w:rPr>
      </w:pPr>
      <w:r>
        <w:rPr>
          <w:rFonts w:cs="Arial" w:ascii="Arial" w:hAnsi="Arial"/>
        </w:rPr>
        <w:t>Mercer helps employers manage the operation of their retirement, health care, and group insurance plans; deliver services to plan participants; and ensure compliance with applicable laws and regulations by:</w:t>
      </w:r>
    </w:p>
    <w:p>
      <w:pPr>
        <w:pStyle w:val="Normal"/>
        <w:numPr>
          <w:ilvl w:val="0"/>
          <w:numId w:val="17"/>
        </w:numPr>
        <w:tabs>
          <w:tab w:val="left" w:pos="720" w:leader="none"/>
        </w:tabs>
        <w:ind w:hanging="360" w:start="720" w:end="0"/>
        <w:rPr>
          <w:rFonts w:ascii="Arial" w:hAnsi="Arial" w:cs="Arial"/>
        </w:rPr>
      </w:pPr>
      <w:r>
        <w:rPr>
          <w:rFonts w:cs="Arial" w:ascii="Arial" w:hAnsi="Arial"/>
        </w:rPr>
        <w:t>Setting up and maintaining record keeping systems</w:t>
      </w:r>
    </w:p>
    <w:p>
      <w:pPr>
        <w:pStyle w:val="Normal"/>
        <w:numPr>
          <w:ilvl w:val="0"/>
          <w:numId w:val="17"/>
        </w:numPr>
        <w:tabs>
          <w:tab w:val="left" w:pos="720" w:leader="none"/>
        </w:tabs>
        <w:ind w:hanging="360" w:start="720" w:end="0"/>
        <w:rPr>
          <w:rFonts w:ascii="Arial" w:hAnsi="Arial" w:cs="Arial"/>
        </w:rPr>
      </w:pPr>
      <w:r>
        <w:rPr>
          <w:rFonts w:cs="Arial" w:ascii="Arial" w:hAnsi="Arial"/>
        </w:rPr>
        <w:t>Managing data</w:t>
      </w:r>
    </w:p>
    <w:p>
      <w:pPr>
        <w:pStyle w:val="Normal"/>
        <w:numPr>
          <w:ilvl w:val="0"/>
          <w:numId w:val="17"/>
        </w:numPr>
        <w:tabs>
          <w:tab w:val="left" w:pos="720" w:leader="none"/>
        </w:tabs>
        <w:ind w:hanging="360" w:start="720" w:end="0"/>
        <w:rPr>
          <w:rFonts w:ascii="Arial" w:hAnsi="Arial" w:cs="Arial"/>
        </w:rPr>
      </w:pPr>
      <w:r>
        <w:rPr>
          <w:rFonts w:cs="Arial" w:ascii="Arial" w:hAnsi="Arial"/>
        </w:rPr>
        <w:t>Developing and refining administrative procedures</w:t>
      </w:r>
    </w:p>
    <w:p>
      <w:pPr>
        <w:pStyle w:val="Normal"/>
        <w:numPr>
          <w:ilvl w:val="0"/>
          <w:numId w:val="17"/>
        </w:numPr>
        <w:tabs>
          <w:tab w:val="left" w:pos="720" w:leader="none"/>
        </w:tabs>
        <w:ind w:hanging="360" w:start="720" w:end="0"/>
        <w:rPr>
          <w:rFonts w:ascii="Arial" w:hAnsi="Arial" w:cs="Arial"/>
        </w:rPr>
      </w:pPr>
      <w:r>
        <w:rPr>
          <w:rFonts w:cs="Arial" w:ascii="Arial" w:hAnsi="Arial"/>
        </w:rPr>
        <w:t>Interacting with carriers, trustees, and other outside parties</w:t>
      </w:r>
    </w:p>
    <w:p>
      <w:pPr>
        <w:pStyle w:val="Normal"/>
        <w:numPr>
          <w:ilvl w:val="0"/>
          <w:numId w:val="17"/>
        </w:numPr>
        <w:tabs>
          <w:tab w:val="left" w:pos="720" w:leader="none"/>
        </w:tabs>
        <w:ind w:hanging="360" w:start="720" w:end="0"/>
        <w:rPr>
          <w:rFonts w:ascii="Arial" w:hAnsi="Arial" w:cs="Arial"/>
        </w:rPr>
      </w:pPr>
      <w:r>
        <w:rPr>
          <w:rFonts w:cs="Arial" w:ascii="Arial" w:hAnsi="Arial"/>
        </w:rPr>
        <w:t xml:space="preserve">Enrolling eligible employees </w:t>
      </w:r>
    </w:p>
    <w:p>
      <w:pPr>
        <w:pStyle w:val="Normal"/>
        <w:numPr>
          <w:ilvl w:val="0"/>
          <w:numId w:val="17"/>
        </w:numPr>
        <w:tabs>
          <w:tab w:val="left" w:pos="720" w:leader="none"/>
        </w:tabs>
        <w:ind w:hanging="360" w:start="720" w:end="0"/>
        <w:rPr>
          <w:rFonts w:ascii="Arial" w:hAnsi="Arial" w:cs="Arial"/>
        </w:rPr>
      </w:pPr>
      <w:r>
        <w:rPr>
          <w:rFonts w:cs="Arial" w:ascii="Arial" w:hAnsi="Arial"/>
        </w:rPr>
        <w:t>Processing plan transactions</w:t>
      </w:r>
    </w:p>
    <w:p>
      <w:pPr>
        <w:pStyle w:val="Normal"/>
        <w:numPr>
          <w:ilvl w:val="0"/>
          <w:numId w:val="17"/>
        </w:numPr>
        <w:tabs>
          <w:tab w:val="left" w:pos="720" w:leader="none"/>
        </w:tabs>
        <w:ind w:hanging="360" w:start="720" w:end="0"/>
        <w:rPr>
          <w:rFonts w:ascii="Arial" w:hAnsi="Arial" w:cs="Arial"/>
        </w:rPr>
      </w:pPr>
      <w:r>
        <w:rPr>
          <w:rFonts w:cs="Arial" w:ascii="Arial" w:hAnsi="Arial"/>
        </w:rPr>
        <w:t>Handling benefit payments.</w:t>
      </w:r>
    </w:p>
    <w:p>
      <w:pPr>
        <w:pStyle w:val="Normal"/>
        <w:rPr>
          <w:rFonts w:ascii="Arial" w:hAnsi="Arial" w:cs="Arial"/>
        </w:rPr>
      </w:pPr>
      <w:r>
        <w:rPr>
          <w:rFonts w:cs="Arial" w:ascii="Arial" w:hAnsi="Arial"/>
        </w:rPr>
      </w:r>
    </w:p>
    <w:p>
      <w:pPr>
        <w:pStyle w:val="Normal"/>
        <w:numPr>
          <w:ilvl w:val="0"/>
          <w:numId w:val="15"/>
        </w:numPr>
        <w:tabs>
          <w:tab w:val="left" w:pos="360" w:leader="none"/>
          <w:tab w:val="left" w:pos="720" w:leader="none"/>
        </w:tabs>
        <w:rPr>
          <w:rFonts w:ascii="Arial" w:hAnsi="Arial" w:cs="Arial"/>
        </w:rPr>
      </w:pPr>
      <w:r>
        <w:rPr>
          <w:rFonts w:cs="Arial" w:ascii="Arial" w:hAnsi="Arial"/>
        </w:rPr>
        <w:t xml:space="preserve">In the US, all of these services (except for defined benefit plan administration) are delivered through a strategic alliance with ADP, Inc.  </w:t>
      </w:r>
    </w:p>
    <w:p>
      <w:pPr>
        <w:pStyle w:val="Normal"/>
        <w:tabs>
          <w:tab w:val="left" w:pos="360" w:leader="none"/>
          <w:tab w:val="left" w:pos="720" w:leader="none"/>
        </w:tabs>
        <w:ind w:hanging="360" w:start="360" w:end="0"/>
        <w:rPr>
          <w:rFonts w:ascii="Arial" w:hAnsi="Arial" w:cs="Arial"/>
        </w:rPr>
      </w:pPr>
      <w:r>
        <w:rPr>
          <w:rFonts w:cs="Arial" w:ascii="Arial" w:hAnsi="Arial"/>
        </w:rPr>
      </w:r>
    </w:p>
    <w:p>
      <w:pPr>
        <w:pStyle w:val="Normal"/>
        <w:numPr>
          <w:ilvl w:val="0"/>
          <w:numId w:val="20"/>
        </w:numPr>
        <w:tabs>
          <w:tab w:val="left" w:pos="360" w:leader="none"/>
          <w:tab w:val="left" w:pos="720" w:leader="none"/>
        </w:tabs>
        <w:rPr>
          <w:rFonts w:ascii="Arial" w:hAnsi="Arial" w:cs="Arial"/>
        </w:rPr>
      </w:pPr>
      <w:r>
        <w:rPr>
          <w:rFonts w:cs="Arial" w:ascii="Arial" w:hAnsi="Arial"/>
        </w:rPr>
        <w:t>Also in the US, Mercer helps clients with PeopleSoft® Pension Administration implementation projects: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This full pension administration system was developed through a strategic alliance between Mercer and PeopleSoft, a leading provider of human resources software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Because of our role in the development process, PeopleSoft has designated Mercer as its recommended implementation partner for the pension administration system</w:t>
      </w:r>
    </w:p>
    <w:p>
      <w:pPr>
        <w:pStyle w:val="Normal"/>
        <w:tabs>
          <w:tab w:val="left" w:pos="360" w:leader="none"/>
          <w:tab w:val="left" w:pos="720" w:leader="none"/>
        </w:tabs>
        <w:ind w:start="216" w:end="0"/>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Client Management</w:t>
      </w:r>
    </w:p>
    <w:p>
      <w:pPr>
        <w:pStyle w:val="Normal"/>
        <w:rPr>
          <w:rFonts w:ascii="Arial" w:hAnsi="Arial" w:cs="Arial"/>
        </w:rPr>
      </w:pPr>
      <w:r>
        <w:rPr>
          <w:rFonts w:cs="Arial" w:ascii="Arial" w:hAnsi="Arial"/>
        </w:rPr>
        <w:t>Client managers organize teams to meet client needs and coordinate the delivery of integrated business solutions. They are also responsible for client development plans and coordination of client activities with other MMC companies. The Client Management practice provides tools to support overall relationship management (e.g., the means to collect, maintain, and share organizational information about clients). Client managers have diverse professional, technical, and general business backgrounds.</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Communication</w:t>
      </w:r>
    </w:p>
    <w:p>
      <w:pPr>
        <w:pStyle w:val="Normal"/>
        <w:rPr>
          <w:rFonts w:ascii="Arial" w:hAnsi="Arial" w:cs="Arial"/>
        </w:rPr>
      </w:pPr>
      <w:r>
        <w:rPr>
          <w:rFonts w:cs="Arial" w:ascii="Arial" w:hAnsi="Arial"/>
        </w:rPr>
        <w:t xml:space="preserve">Mercer’s communication consultants help clients communicate with their employees to gain competitive advantage in an increasingly complex, e-based world. We develop integrated strategies that address the vast issues surrounding business and workforce change. We also have expertise in process facilitation and developing media solutions. Our communication consulting services focus on these key areas: </w:t>
      </w:r>
    </w:p>
    <w:p>
      <w:pPr>
        <w:pStyle w:val="Normal"/>
        <w:rPr>
          <w:rFonts w:ascii="Arial" w:hAnsi="Arial" w:cs="Arial"/>
        </w:rPr>
      </w:pPr>
      <w:r>
        <w:rPr>
          <w:rFonts w:cs="Arial" w:ascii="Arial" w:hAnsi="Arial"/>
        </w:rPr>
      </w:r>
    </w:p>
    <w:p>
      <w:pPr>
        <w:pStyle w:val="Normal"/>
        <w:numPr>
          <w:ilvl w:val="0"/>
          <w:numId w:val="6"/>
        </w:numPr>
        <w:tabs>
          <w:tab w:val="left" w:pos="360" w:leader="none"/>
          <w:tab w:val="left" w:pos="720" w:leader="none"/>
        </w:tabs>
        <w:ind w:hanging="360" w:start="360" w:end="0"/>
        <w:rPr>
          <w:rFonts w:ascii="Arial" w:hAnsi="Arial" w:cs="Arial"/>
        </w:rPr>
      </w:pPr>
      <w:r>
        <w:rPr>
          <w:rFonts w:cs="Arial" w:ascii="Arial" w:hAnsi="Arial"/>
        </w:rPr>
        <w:t>Change communication</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Communication is an increasingly critical factor in accelerating change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We help leaders articulate their change agenda and build understanding and new behaviors among stakeholders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Our processes and methodologies help employees to think, feel and act like business owners</w:t>
      </w:r>
    </w:p>
    <w:p>
      <w:pPr>
        <w:pStyle w:val="Normal"/>
        <w:tabs>
          <w:tab w:val="clear" w:pos="720"/>
          <w:tab w:val="left" w:pos="180" w:leader="none"/>
        </w:tabs>
        <w:ind w:hanging="216" w:start="216" w:end="0"/>
        <w:rPr>
          <w:rFonts w:ascii="Arial" w:hAnsi="Arial" w:cs="Arial"/>
        </w:rPr>
      </w:pPr>
      <w:r>
        <w:rPr>
          <w:rFonts w:cs="Arial" w:ascii="Arial" w:hAnsi="Arial"/>
        </w:rPr>
      </w:r>
    </w:p>
    <w:p>
      <w:pPr>
        <w:pStyle w:val="Normal"/>
        <w:numPr>
          <w:ilvl w:val="0"/>
          <w:numId w:val="6"/>
        </w:numPr>
        <w:tabs>
          <w:tab w:val="left" w:pos="360" w:leader="none"/>
          <w:tab w:val="left" w:pos="720" w:leader="none"/>
        </w:tabs>
        <w:ind w:hanging="360" w:start="360" w:end="0"/>
        <w:rPr>
          <w:rFonts w:ascii="Arial" w:hAnsi="Arial" w:cs="Arial"/>
        </w:rPr>
      </w:pPr>
      <w:r>
        <w:rPr>
          <w:rFonts w:cs="Arial" w:ascii="Arial" w:hAnsi="Arial"/>
        </w:rPr>
        <w:t>E-communication</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We work with clients to develop integrated insourced and outsourced e-communication solutions using interactive media such as voice response, Internet, and intranet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The transformation to e-based solutions provides access to information on demand, facilitates decision making, improves the quality and efficiency of HR transactions and fosters employee self-reliance</w:t>
      </w:r>
    </w:p>
    <w:p>
      <w:pPr>
        <w:pStyle w:val="Normal"/>
        <w:tabs>
          <w:tab w:val="clear" w:pos="720"/>
          <w:tab w:val="left" w:pos="180" w:leader="none"/>
        </w:tabs>
        <w:ind w:hanging="216" w:start="216" w:end="0"/>
        <w:rPr>
          <w:rFonts w:ascii="Arial" w:hAnsi="Arial" w:cs="Arial"/>
        </w:rPr>
      </w:pPr>
      <w:r>
        <w:rPr>
          <w:rFonts w:cs="Arial" w:ascii="Arial" w:hAnsi="Arial"/>
        </w:rPr>
      </w:r>
    </w:p>
    <w:p>
      <w:pPr>
        <w:pStyle w:val="Normal"/>
        <w:numPr>
          <w:ilvl w:val="0"/>
          <w:numId w:val="6"/>
        </w:numPr>
        <w:tabs>
          <w:tab w:val="left" w:pos="360" w:leader="none"/>
          <w:tab w:val="left" w:pos="720" w:leader="none"/>
        </w:tabs>
        <w:ind w:hanging="360" w:start="360" w:end="0"/>
        <w:rPr>
          <w:rFonts w:ascii="Arial" w:hAnsi="Arial" w:cs="Arial"/>
        </w:rPr>
      </w:pPr>
      <w:r>
        <w:rPr>
          <w:rFonts w:cs="Arial" w:ascii="Arial" w:hAnsi="Arial"/>
        </w:rPr>
        <w:t>Human resources and benefit plan communication</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Human resources and benefit plan communication programs help maximize an organization’s investment in people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We employ our skills and methodologies in all phases, from employee research to strategy development to media solutions</w:t>
      </w:r>
    </w:p>
    <w:p>
      <w:pPr>
        <w:pStyle w:val="Normal"/>
        <w:tabs>
          <w:tab w:val="clear" w:pos="720"/>
          <w:tab w:val="left" w:pos="180" w:leader="none"/>
        </w:tabs>
        <w:ind w:hanging="216" w:start="216" w:end="0"/>
        <w:rPr>
          <w:rFonts w:ascii="Arial" w:hAnsi="Arial" w:cs="Arial"/>
        </w:rPr>
      </w:pPr>
      <w:r>
        <w:rPr>
          <w:rFonts w:cs="Arial" w:ascii="Arial" w:hAnsi="Arial"/>
        </w:rPr>
      </w:r>
    </w:p>
    <w:p>
      <w:pPr>
        <w:pStyle w:val="Normal"/>
        <w:numPr>
          <w:ilvl w:val="0"/>
          <w:numId w:val="6"/>
        </w:numPr>
        <w:tabs>
          <w:tab w:val="left" w:pos="360" w:leader="none"/>
          <w:tab w:val="left" w:pos="720" w:leader="none"/>
        </w:tabs>
        <w:ind w:hanging="360" w:start="360" w:end="0"/>
        <w:rPr>
          <w:rFonts w:ascii="Arial" w:hAnsi="Arial" w:cs="Arial"/>
        </w:rPr>
      </w:pPr>
      <w:r>
        <w:rPr>
          <w:rFonts w:cs="Arial" w:ascii="Arial" w:hAnsi="Arial"/>
        </w:rPr>
        <w:t>Research and measurement</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Research and measurement are integral components of any employee communication strategy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Research provides an understanding of employees’ attitudes, behaviors and views on important organizational decisions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We utilize a variety of listening processes to engage employees, including a suite of employee survey products and expertise in focus groups and other interview techniques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We measure the return on our clients’ communication investment through a variety of measurement techniques such as communication audits and the development of balanced scorecards for communication</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 xml:space="preserve">Health &amp; Group Benefits </w:t>
      </w:r>
    </w:p>
    <w:p>
      <w:pPr>
        <w:pStyle w:val="Normal"/>
        <w:rPr>
          <w:rFonts w:ascii="Arial" w:hAnsi="Arial" w:cs="Arial"/>
        </w:rPr>
      </w:pPr>
      <w:r>
        <w:rPr>
          <w:rFonts w:cs="Arial" w:ascii="Arial" w:hAnsi="Arial"/>
        </w:rPr>
        <w:t xml:space="preserve">Mercer’s Health &amp; Group benefits practice helps clients meet their business objectives related to the health, well-being, satisfaction, commitment, and productivity of their employees. Employers and other plan sponsors look to Mercer as the world’s leader in the design, funding, and delivery of group benefit plans. Employer and plan sponsor services encompass every investment in workforce health and welfare, including non-traditional and Web-based benefits, programs aimed at improving employee availability and productivity, and programs that protect against employer risk and improve the health of the employee population.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Governments retain Mercer to assist in the management of programs for public beneficiaries and to advise on the organization and delivery of social and health care security systems.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Health care suppliers, managed care organizations, and medical care systems call on Mercer for consulting expertise in finance, product design, clinical process improvement, employee alignment, and market strategy. Health Group benefits consulting encompasses the following service sets: </w:t>
      </w:r>
    </w:p>
    <w:p>
      <w:pPr>
        <w:pStyle w:val="Normal"/>
        <w:rPr>
          <w:rFonts w:ascii="Arial" w:hAnsi="Arial" w:cs="Arial"/>
        </w:rPr>
      </w:pPr>
      <w:r>
        <w:rPr>
          <w:rFonts w:cs="Arial" w:ascii="Arial" w:hAnsi="Arial"/>
        </w:rPr>
      </w:r>
    </w:p>
    <w:p>
      <w:pPr>
        <w:pStyle w:val="Normal"/>
        <w:numPr>
          <w:ilvl w:val="0"/>
          <w:numId w:val="6"/>
        </w:numPr>
        <w:tabs>
          <w:tab w:val="left" w:pos="360" w:leader="none"/>
          <w:tab w:val="left" w:pos="720" w:leader="none"/>
        </w:tabs>
        <w:ind w:hanging="360" w:start="360" w:end="0"/>
        <w:rPr>
          <w:rFonts w:ascii="Arial" w:hAnsi="Arial" w:cs="Arial"/>
        </w:rPr>
      </w:pPr>
      <w:r>
        <w:rPr>
          <w:rFonts w:cs="Arial" w:ascii="Arial" w:hAnsi="Arial"/>
        </w:rPr>
        <w:t>Improving Employee Availability</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Integrated Disability, Lost Time, and Productivity Management</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Delivering Benefit Value (Improving ROI on Benefit Expense)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Attraction &amp; Retention, Helping Companies Become Employers of Choice, Contribution Strategies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Flexible Benefits, Group Life Insurance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Integrated Rewards, Work-Life Issues</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Delivering Health Care Value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Alternative Medicine, Behavioral Health, Dental, Vision Care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Direct Contracting</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Government Health Care, Global Heath Care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Health Care Safety and Quality, Health Management</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Health Plan Engineering and Portfolio Management</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Information Planning</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International Assistance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Long-Term Care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Mercer Health Plan Solutions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Pharmacy Management, Provider Health Care, Retiree Medical</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Supporting Resources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Actuarial and Financial Services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Compliance and Risk Management</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Data Analysis, Operational Performance Management and Audit</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Surveys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Benefit Value Alignment, Employer Health Plan, Managed Time Loss</w:t>
      </w:r>
    </w:p>
    <w:p>
      <w:pPr>
        <w:pStyle w:val="Normal"/>
        <w:tabs>
          <w:tab w:val="left" w:pos="720" w:leader="none"/>
        </w:tabs>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HR Operations Consulting</w:t>
      </w:r>
    </w:p>
    <w:p>
      <w:pPr>
        <w:pStyle w:val="Normal"/>
        <w:rPr>
          <w:rFonts w:ascii="Arial" w:hAnsi="Arial" w:cs="Arial"/>
        </w:rPr>
      </w:pPr>
      <w:r>
        <w:rPr>
          <w:rFonts w:cs="Arial" w:ascii="Arial" w:hAnsi="Arial"/>
        </w:rPr>
        <w:t>Mercer’s HR Operations Consulting practice combines consulting specialties to help clients’ HR functions deliver greater value to their organizations. To deliver on this proposition, we provide the following services locally or globally:</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Building a strategy for the HR function</w:t>
      </w:r>
    </w:p>
    <w:p>
      <w:pPr>
        <w:pStyle w:val="Normal"/>
        <w:numPr>
          <w:ilvl w:val="0"/>
          <w:numId w:val="7"/>
        </w:numPr>
        <w:rPr>
          <w:rFonts w:ascii="Arial" w:hAnsi="Arial" w:cs="Arial"/>
        </w:rPr>
      </w:pPr>
      <w:r>
        <w:rPr>
          <w:rFonts w:cs="Arial" w:ascii="Arial" w:hAnsi="Arial"/>
        </w:rPr>
        <w:t>Call centers</w:t>
      </w:r>
    </w:p>
    <w:p>
      <w:pPr>
        <w:pStyle w:val="Normal"/>
        <w:numPr>
          <w:ilvl w:val="0"/>
          <w:numId w:val="7"/>
        </w:numPr>
        <w:rPr>
          <w:rFonts w:ascii="Arial" w:hAnsi="Arial" w:cs="Arial"/>
        </w:rPr>
      </w:pPr>
      <w:r>
        <w:rPr>
          <w:rFonts w:cs="Arial" w:ascii="Arial" w:hAnsi="Arial"/>
        </w:rPr>
        <w:t>Designing and implementing employee service centers</w:t>
      </w:r>
    </w:p>
    <w:p>
      <w:pPr>
        <w:pStyle w:val="Normal"/>
        <w:numPr>
          <w:ilvl w:val="0"/>
          <w:numId w:val="7"/>
        </w:numPr>
        <w:rPr>
          <w:rFonts w:ascii="Arial" w:hAnsi="Arial" w:cs="Arial"/>
        </w:rPr>
      </w:pPr>
      <w:r>
        <w:rPr>
          <w:rFonts w:cs="Arial" w:ascii="Arial" w:hAnsi="Arial"/>
        </w:rPr>
        <w:t>Designing the HR organization</w:t>
      </w:r>
    </w:p>
    <w:p>
      <w:pPr>
        <w:pStyle w:val="Normal"/>
        <w:numPr>
          <w:ilvl w:val="0"/>
          <w:numId w:val="7"/>
        </w:numPr>
        <w:rPr>
          <w:rFonts w:ascii="Arial" w:hAnsi="Arial" w:cs="Arial"/>
        </w:rPr>
      </w:pPr>
      <w:r>
        <w:rPr>
          <w:rFonts w:cs="Arial" w:ascii="Arial" w:hAnsi="Arial"/>
        </w:rPr>
        <w:t>Developing and implementing an HR outsourcing strategy</w:t>
      </w:r>
    </w:p>
    <w:p>
      <w:pPr>
        <w:pStyle w:val="Normal"/>
        <w:numPr>
          <w:ilvl w:val="0"/>
          <w:numId w:val="7"/>
        </w:numPr>
        <w:rPr>
          <w:rFonts w:ascii="Arial" w:hAnsi="Arial" w:cs="Arial"/>
        </w:rPr>
      </w:pPr>
      <w:r>
        <w:rPr>
          <w:rFonts w:cs="Arial" w:ascii="Arial" w:hAnsi="Arial"/>
        </w:rPr>
        <w:t>Developing and implementing HR systems strategies</w:t>
      </w:r>
    </w:p>
    <w:p>
      <w:pPr>
        <w:pStyle w:val="Normal"/>
        <w:numPr>
          <w:ilvl w:val="0"/>
          <w:numId w:val="7"/>
        </w:numPr>
        <w:rPr>
          <w:rFonts w:ascii="Arial" w:hAnsi="Arial" w:cs="Arial"/>
        </w:rPr>
      </w:pPr>
      <w:r>
        <w:rPr>
          <w:rFonts w:cs="Arial" w:ascii="Arial" w:hAnsi="Arial"/>
        </w:rPr>
        <w:t xml:space="preserve">Employment practices consulting </w:t>
      </w:r>
    </w:p>
    <w:p>
      <w:pPr>
        <w:pStyle w:val="Normal"/>
        <w:numPr>
          <w:ilvl w:val="0"/>
          <w:numId w:val="7"/>
        </w:numPr>
        <w:rPr>
          <w:rFonts w:ascii="Arial" w:hAnsi="Arial" w:cs="Arial"/>
        </w:rPr>
      </w:pPr>
      <w:r>
        <w:rPr>
          <w:rFonts w:cs="Arial" w:ascii="Arial" w:hAnsi="Arial"/>
        </w:rPr>
        <w:t>HR process improvement</w:t>
      </w:r>
    </w:p>
    <w:p>
      <w:pPr>
        <w:pStyle w:val="Normal"/>
        <w:numPr>
          <w:ilvl w:val="0"/>
          <w:numId w:val="7"/>
        </w:numPr>
        <w:rPr>
          <w:rFonts w:ascii="Arial" w:hAnsi="Arial" w:cs="Arial"/>
        </w:rPr>
      </w:pPr>
      <w:r>
        <w:rPr>
          <w:rFonts w:cs="Arial" w:ascii="Arial" w:hAnsi="Arial"/>
        </w:rPr>
        <w:t>Merger and acquisition integration assistance</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Human Capital Strategy</w:t>
      </w:r>
    </w:p>
    <w:p>
      <w:pPr>
        <w:pStyle w:val="Normal"/>
        <w:rPr>
          <w:rFonts w:ascii="Arial" w:hAnsi="Arial" w:cs="Arial"/>
        </w:rPr>
      </w:pPr>
      <w:r>
        <w:rPr>
          <w:rFonts w:cs="Arial" w:ascii="Arial" w:hAnsi="Arial"/>
        </w:rPr>
        <w:t>Our unique analytic approach enables us, for the first time in business, to measure the effects of discrete human capital policies and practices on productivity and other operational issues such as turnover. We can then project the economic gains that would result from potential changes and move on to design and implement programs to capture those gains.</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Reward and Talent Management</w:t>
      </w:r>
    </w:p>
    <w:p>
      <w:pPr>
        <w:pStyle w:val="Normal"/>
        <w:rPr>
          <w:rFonts w:ascii="Arial" w:hAnsi="Arial" w:cs="Arial"/>
        </w:rPr>
      </w:pPr>
      <w:r>
        <w:rPr>
          <w:rFonts w:cs="Arial" w:ascii="Arial" w:hAnsi="Arial"/>
        </w:rPr>
        <w:t xml:space="preserve">The Reward and Talent Management practice helps clients enhance organizational and individual performance through the alignment of HR programs with the organization’s business strategy and values. In addition, the practice provides executives and directors with advice on corporate performance and executive and director pay policy and plan design.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practice is geared to the needs of both executives and independent directors in their common pursuit of practical and defensible pay policy, plans, and practices. Our assistance to clients is typically in the following areas:</w:t>
      </w:r>
    </w:p>
    <w:p>
      <w:pPr>
        <w:pStyle w:val="Normal"/>
        <w:rPr>
          <w:rFonts w:ascii="Arial" w:hAnsi="Arial" w:cs="Arial"/>
        </w:rPr>
      </w:pPr>
      <w:r>
        <w:rPr>
          <w:rFonts w:cs="Arial" w:ascii="Arial" w:hAnsi="Arial"/>
        </w:rPr>
      </w:r>
    </w:p>
    <w:p>
      <w:pPr>
        <w:pStyle w:val="Normal"/>
        <w:numPr>
          <w:ilvl w:val="0"/>
          <w:numId w:val="28"/>
        </w:numPr>
        <w:rPr>
          <w:rFonts w:ascii="Arial" w:hAnsi="Arial" w:cs="Arial"/>
        </w:rPr>
      </w:pPr>
      <w:r>
        <w:rPr>
          <w:rFonts w:cs="Arial" w:ascii="Arial" w:hAnsi="Arial"/>
        </w:rPr>
        <w:t>Talent management</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Address organizational, team, and individual performance of executive, management, and non-management employees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Design and implement strategy-based talent management practices that include employee goal setting and assessment, learning and development, selection, talent review, succession planning, career pathing, and other competency-based human resource programs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23"/>
        </w:numPr>
        <w:rPr>
          <w:rFonts w:ascii="Arial" w:hAnsi="Arial" w:cs="Arial"/>
        </w:rPr>
      </w:pPr>
      <w:r>
        <w:rPr>
          <w:rFonts w:cs="Arial" w:ascii="Arial" w:hAnsi="Arial"/>
        </w:rPr>
        <w:t>Rewards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Salary systems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Broad-based incentives and variable compensation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Stock programs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Team and individual incentive systems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Flexible benefits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Sales force effectiveness, sales incentives</w:t>
      </w:r>
    </w:p>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Information services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We provide global HR data and software solutions to both internal and external customers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With over 700 specialty data products, Mercer’s Reward and Talent Management practice is a leading provider of global HR information </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Policy development and review</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Beginning with advice on the respective role of management and directors in a review of executive and directors’ compensation, including the design of the review process itself, through the development of specific compensation strategy and policy</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 xml:space="preserve">Performance and measurement and linkage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From financial and shareholder value measurement to total compensation benchmarking and performance linkage assessment</w:t>
      </w:r>
    </w:p>
    <w:p>
      <w:pPr>
        <w:pStyle w:val="Normal"/>
        <w:ind w:start="216" w:end="0"/>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 xml:space="preserve">Program design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From salary plans to short and long-term incentive plan design, including financial performance linkages and modeling </w:t>
      </w:r>
    </w:p>
    <w:p>
      <w:pPr>
        <w:pStyle w:val="Normal"/>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Data collection, analysis, and interpretation</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Including proxy and pay survey analysis and benchmarking of comparator group financial and stock price performance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Corporate governance</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Consulting, including the role of the directors in executive compensation, directors’ pay, Board assessment, and individual peer assessment </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Special issues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Including change of control, corporate reorganization (divestiture and acquisition) issues, and management succession plans </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Compliance and shareholder optics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Including disclosure requirements, securities regulation, taxation, accounting treatment, and legal issues surrounding executive and directors’ compensation programs</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Investment Consulting</w:t>
      </w:r>
    </w:p>
    <w:p>
      <w:pPr>
        <w:pStyle w:val="Normal"/>
        <w:rPr>
          <w:rFonts w:ascii="Arial" w:hAnsi="Arial" w:cs="Arial"/>
        </w:rPr>
      </w:pPr>
      <w:r>
        <w:rPr>
          <w:rFonts w:cs="Arial" w:ascii="Arial" w:hAnsi="Arial"/>
        </w:rPr>
        <w:t xml:space="preserve">Mercer’s investment consultants help the sponsors and trustees of pension funds, endowments, and other institutional asset pools obtain the highest possible long-term returns for the fund’s beneficiaries, at an acceptable level of risk and the lowest possible cost.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help clients set strategy and performance goals for their funds; evaluate asset classes and decide how to structure their investment portfolios; match the fund’s assets to its liabilities; research capabilities of investment management firms and monitor their performance; comply with government regulations; and design investment management structures, assist in the selection of appropriate managers, and monitor the performance of the structure. </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Research and Technology</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Our research staff evaluates worldwide economic and capital market trends and manages a variety of proprietary computer systems and databases that facilitate informed decision making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We have investment manager research teams in the major global financial centers</w:t>
      </w:r>
    </w:p>
    <w:p>
      <w:pPr>
        <w:pStyle w:val="Normal"/>
        <w:rPr>
          <w:rFonts w:ascii="Arial" w:hAnsi="Arial" w:cs="Arial"/>
        </w:rPr>
      </w:pPr>
      <w:r>
        <w:rPr>
          <w:rFonts w:cs="Arial" w:ascii="Arial" w:hAnsi="Arial"/>
        </w:rPr>
      </w:r>
    </w:p>
    <w:p>
      <w:pPr>
        <w:pStyle w:val="Normal"/>
        <w:numPr>
          <w:ilvl w:val="0"/>
          <w:numId w:val="16"/>
        </w:numPr>
        <w:rPr>
          <w:rFonts w:ascii="Arial" w:hAnsi="Arial" w:cs="Arial"/>
        </w:rPr>
      </w:pPr>
      <w:r>
        <w:rPr>
          <w:rFonts w:cs="Arial" w:ascii="Arial" w:hAnsi="Arial"/>
        </w:rPr>
        <w:t>Global Investment Forum</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Mercer’s Global Investment Forum conducts a series of symposia each year to facilitate the exchange of new ideas in investment research and address global issues facing plan sponsors, investment managers and consultants</w:t>
      </w:r>
    </w:p>
    <w:p>
      <w:pPr>
        <w:pStyle w:val="Normal"/>
        <w:rPr>
          <w:rFonts w:ascii="Arial" w:hAnsi="Arial" w:cs="Arial"/>
        </w:rPr>
      </w:pPr>
      <w:r>
        <w:rPr>
          <w:rFonts w:cs="Arial" w:ascii="Arial" w:hAnsi="Arial"/>
        </w:rPr>
      </w:r>
    </w:p>
    <w:p>
      <w:pPr>
        <w:pStyle w:val="Normal"/>
        <w:numPr>
          <w:ilvl w:val="0"/>
          <w:numId w:val="22"/>
        </w:numPr>
        <w:rPr>
          <w:rFonts w:ascii="Arial" w:hAnsi="Arial" w:cs="Arial"/>
        </w:rPr>
      </w:pPr>
      <w:r>
        <w:rPr>
          <w:rFonts w:cs="Arial" w:ascii="Arial" w:hAnsi="Arial"/>
        </w:rPr>
        <w:t>Manager Advisory Services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Mercer’s Manager Advisory Services consults to the investment management industry </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Retirement</w:t>
      </w:r>
    </w:p>
    <w:p>
      <w:pPr>
        <w:pStyle w:val="Normal"/>
        <w:rPr>
          <w:rFonts w:ascii="Arial" w:hAnsi="Arial" w:cs="Arial"/>
        </w:rPr>
      </w:pPr>
      <w:r>
        <w:rPr>
          <w:rFonts w:cs="Arial" w:ascii="Arial" w:hAnsi="Arial"/>
        </w:rPr>
        <w:t xml:space="preserve">Mercer’s Retirement practice provides services for defined benefit, defined contribution, and non-qualified retirement plans. Our professional staff, including actuaries and attorneys, is the largest in the US and in the world. We work closely with professionals from other practices that provide retirement-related services. Our services include: </w:t>
      </w:r>
    </w:p>
    <w:p>
      <w:pPr>
        <w:pStyle w:val="Normal"/>
        <w:rPr>
          <w:rFonts w:ascii="Arial" w:hAnsi="Arial" w:cs="Arial"/>
          <w:b/>
          <w:sz w:val="28"/>
        </w:rPr>
      </w:pPr>
      <w:r>
        <w:rPr>
          <w:rFonts w:cs="Arial" w:ascii="Arial" w:hAnsi="Arial"/>
          <w:b/>
          <w:sz w:val="28"/>
        </w:rPr>
      </w:r>
    </w:p>
    <w:p>
      <w:pPr>
        <w:pStyle w:val="Normal"/>
        <w:numPr>
          <w:ilvl w:val="0"/>
          <w:numId w:val="29"/>
        </w:numPr>
        <w:rPr>
          <w:rFonts w:ascii="Arial" w:hAnsi="Arial" w:cs="Arial"/>
        </w:rPr>
      </w:pPr>
      <w:r>
        <w:rPr>
          <w:rFonts w:cs="Arial" w:ascii="Arial" w:hAnsi="Arial"/>
        </w:rPr>
        <w:t xml:space="preserve">Plan design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Help clients identify their objectives and implement retirement strategies to achieve them (corporate reorganization, changing demographics, and market volatility, as well as legislative changes, may cause clients to reevaluate the effectiveness of their retirement programs from time to time)</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 xml:space="preserve">Funding and accounting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Provide clients with the actuarial analysis needed to fund, report, and measure the liabilities of their defined benefit plan</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Assist clients align their funding objectives with their corporate objectives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Provide information required by FASB</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Ensure ongoing compliance with the complex rules that regulate the funding of and accounting for retirement benefits </w:t>
      </w:r>
    </w:p>
    <w:p>
      <w:pPr>
        <w:pStyle w:val="Normal"/>
        <w:tabs>
          <w:tab w:val="left" w:pos="360" w:leader="none"/>
          <w:tab w:val="left" w:pos="720" w:leader="none"/>
        </w:tabs>
        <w:rPr>
          <w:rFonts w:ascii="Arial" w:hAnsi="Arial" w:cs="Arial"/>
        </w:rPr>
      </w:pPr>
      <w:r>
        <w:rPr>
          <w:rFonts w:cs="Arial" w:ascii="Arial" w:hAnsi="Arial"/>
        </w:rPr>
      </w:r>
    </w:p>
    <w:p>
      <w:pPr>
        <w:pStyle w:val="Normal"/>
        <w:numPr>
          <w:ilvl w:val="0"/>
          <w:numId w:val="27"/>
        </w:numPr>
        <w:rPr>
          <w:rFonts w:ascii="Arial" w:hAnsi="Arial" w:cs="Arial"/>
        </w:rPr>
      </w:pPr>
      <w:r>
        <w:rPr>
          <w:rFonts w:cs="Arial" w:ascii="Arial" w:hAnsi="Arial"/>
        </w:rPr>
        <w:t xml:space="preserve">Compliance review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 xml:space="preserve">Help our clients identify and correct administrative practices and procedures that may not conform to the requirements of their plans or may violate requirements of ERISA, the Internal Revenue Code, or Department of Labor regulations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Assist clients with resolving violations with the appropriate authority</w:t>
      </w:r>
    </w:p>
    <w:p>
      <w:pPr>
        <w:pStyle w:val="Normal"/>
        <w:rPr>
          <w:rFonts w:ascii="Arial" w:hAnsi="Arial" w:cs="Arial"/>
          <w:i/>
          <w:i/>
        </w:rPr>
      </w:pPr>
      <w:r>
        <w:rPr>
          <w:rFonts w:cs="Arial" w:ascii="Arial" w:hAnsi="Arial"/>
          <w:i/>
        </w:rPr>
      </w:r>
    </w:p>
    <w:p>
      <w:pPr>
        <w:pStyle w:val="Heading4"/>
        <w:numPr>
          <w:ilvl w:val="0"/>
          <w:numId w:val="21"/>
        </w:numPr>
        <w:spacing w:before="0" w:after="0"/>
        <w:rPr>
          <w:rFonts w:ascii="Arial" w:hAnsi="Arial" w:cs="Arial"/>
          <w:i w:val="false"/>
          <w:i w:val="false"/>
        </w:rPr>
      </w:pPr>
      <w:r>
        <w:rPr>
          <w:rFonts w:cs="Arial" w:ascii="Arial" w:hAnsi="Arial"/>
          <w:i w:val="false"/>
        </w:rPr>
        <w:t xml:space="preserve">Asset/liability modeling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Combine actuarial and investment expertise to provide clients with modeling the outcomes under different asset allocation policies, actuarial assumptions, demographic trends, population changes, and capital market conditions</w:t>
      </w:r>
    </w:p>
    <w:p>
      <w:pPr>
        <w:pStyle w:val="Normal"/>
        <w:rPr>
          <w:rFonts w:ascii="Arial" w:hAnsi="Arial" w:cs="Arial"/>
          <w:i/>
          <w:i/>
        </w:rPr>
      </w:pPr>
      <w:r>
        <w:rPr>
          <w:rFonts w:cs="Arial" w:ascii="Arial" w:hAnsi="Arial"/>
          <w:i/>
        </w:rPr>
      </w:r>
    </w:p>
    <w:p>
      <w:pPr>
        <w:pStyle w:val="Normal"/>
        <w:numPr>
          <w:ilvl w:val="0"/>
          <w:numId w:val="8"/>
        </w:numPr>
        <w:rPr>
          <w:rFonts w:ascii="Arial" w:hAnsi="Arial" w:cs="Arial"/>
        </w:rPr>
      </w:pPr>
      <w:r>
        <w:rPr>
          <w:rFonts w:cs="Arial" w:ascii="Arial" w:hAnsi="Arial"/>
        </w:rPr>
        <w:t xml:space="preserve">Vendor selection and management </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Help clients identify their needs for outsourcing services, solicit and evaluate proposals from vendors, assist with payroll and other data transfer, and monitor the effectiveness of the vendor at integrating within the client organization, as well as comparing the vendor’s services with its competitors</w:t>
      </w:r>
    </w:p>
    <w:p>
      <w:pPr>
        <w:pStyle w:val="Normal"/>
        <w:numPr>
          <w:ilvl w:val="0"/>
          <w:numId w:val="9"/>
        </w:numPr>
        <w:tabs>
          <w:tab w:val="left" w:pos="360" w:leader="none"/>
          <w:tab w:val="left" w:pos="720" w:leader="none"/>
        </w:tabs>
        <w:ind w:hanging="360" w:start="720" w:end="0"/>
        <w:rPr>
          <w:rFonts w:ascii="Arial" w:hAnsi="Arial" w:cs="Arial"/>
        </w:rPr>
      </w:pPr>
      <w:r>
        <w:rPr>
          <w:rFonts w:cs="Arial" w:ascii="Arial" w:hAnsi="Arial"/>
        </w:rPr>
        <w:t>Include Mercer’s administration alliance partner, Administrative Solutions Group (ASG), as a vendor, where appropriate and with full disclosure and consent of the client</w:t>
      </w:r>
    </w:p>
    <w:p>
      <w:pPr>
        <w:pStyle w:val="Normal"/>
        <w:rPr>
          <w:rFonts w:ascii="Arial" w:hAnsi="Arial" w:cs="Arial"/>
        </w:rPr>
      </w:pPr>
      <w:r>
        <w:rPr>
          <w:rFonts w:cs="Arial" w:ascii="Arial" w:hAnsi="Arial"/>
        </w:rPr>
      </w:r>
    </w:p>
    <w:p>
      <w:pPr>
        <w:pStyle w:val="Heading2"/>
        <w:ind w:hanging="0" w:start="0"/>
        <w:rPr>
          <w:rFonts w:ascii="Arial" w:hAnsi="Arial" w:cs="Arial"/>
          <w:b/>
          <w:sz w:val="26"/>
        </w:rPr>
      </w:pPr>
      <w:r>
        <w:rPr>
          <w:rFonts w:cs="Arial" w:ascii="Arial" w:hAnsi="Arial"/>
          <w:b/>
          <w:sz w:val="26"/>
        </w:rPr>
        <w:t>International Consulting</w:t>
      </w:r>
    </w:p>
    <w:p>
      <w:pPr>
        <w:pStyle w:val="Normal"/>
        <w:rPr>
          <w:rFonts w:ascii="Arial" w:hAnsi="Arial" w:cs="Arial"/>
        </w:rPr>
      </w:pPr>
      <w:r>
        <w:rPr>
          <w:rFonts w:cs="Arial" w:ascii="Arial" w:hAnsi="Arial"/>
        </w:rPr>
        <w:t>Our International Consulting practice works closely with the headquarters of multinational companies, advising on employee benefit, compensation, and HR issues affecting their overseas operations. Our services include:</w:t>
      </w:r>
    </w:p>
    <w:p>
      <w:pPr>
        <w:pStyle w:val="Normal"/>
        <w:rPr>
          <w:rFonts w:ascii="Arial" w:hAnsi="Arial" w:cs="Arial"/>
        </w:rPr>
      </w:pPr>
      <w:r>
        <w:rPr>
          <w:rFonts w:cs="Arial" w:ascii="Arial" w:hAnsi="Arial"/>
        </w:rPr>
      </w:r>
    </w:p>
    <w:p>
      <w:pPr>
        <w:pStyle w:val="Normal"/>
        <w:numPr>
          <w:ilvl w:val="0"/>
          <w:numId w:val="26"/>
        </w:numPr>
        <w:rPr>
          <w:rFonts w:ascii="Arial" w:hAnsi="Arial" w:cs="Arial"/>
        </w:rPr>
      </w:pPr>
      <w:r>
        <w:rPr>
          <w:rFonts w:cs="Arial" w:ascii="Arial" w:hAnsi="Arial"/>
        </w:rPr>
        <w:t>Development of worldwide HR policies</w:t>
      </w:r>
    </w:p>
    <w:p>
      <w:pPr>
        <w:pStyle w:val="Normal"/>
        <w:numPr>
          <w:ilvl w:val="0"/>
          <w:numId w:val="26"/>
        </w:numPr>
        <w:rPr>
          <w:rFonts w:ascii="Arial" w:hAnsi="Arial" w:cs="Arial"/>
        </w:rPr>
      </w:pPr>
      <w:r>
        <w:rPr>
          <w:rFonts w:cs="Arial" w:ascii="Arial" w:hAnsi="Arial"/>
        </w:rPr>
        <w:t>Remuneration programs for mobile employees and expatriates</w:t>
      </w:r>
    </w:p>
    <w:p>
      <w:pPr>
        <w:pStyle w:val="Normal"/>
        <w:numPr>
          <w:ilvl w:val="0"/>
          <w:numId w:val="25"/>
        </w:numPr>
        <w:rPr>
          <w:rFonts w:ascii="Arial" w:hAnsi="Arial" w:cs="Arial"/>
        </w:rPr>
      </w:pPr>
      <w:r>
        <w:rPr>
          <w:rFonts w:cs="Arial" w:ascii="Arial" w:hAnsi="Arial"/>
        </w:rPr>
        <w:t>Due diligence for overseas mergers and acquisitions</w:t>
      </w:r>
    </w:p>
    <w:p>
      <w:pPr>
        <w:pStyle w:val="Normal"/>
        <w:numPr>
          <w:ilvl w:val="0"/>
          <w:numId w:val="25"/>
        </w:numPr>
        <w:rPr>
          <w:rFonts w:ascii="Arial" w:hAnsi="Arial" w:cs="Arial"/>
        </w:rPr>
      </w:pPr>
      <w:r>
        <w:rPr>
          <w:rFonts w:cs="Arial" w:ascii="Arial" w:hAnsi="Arial"/>
        </w:rPr>
        <w:t>Audit of overseas plans</w:t>
      </w:r>
    </w:p>
    <w:p>
      <w:pPr>
        <w:pStyle w:val="Normal"/>
        <w:numPr>
          <w:ilvl w:val="0"/>
          <w:numId w:val="25"/>
        </w:numPr>
        <w:rPr>
          <w:rFonts w:ascii="Arial" w:hAnsi="Arial" w:cs="Arial"/>
        </w:rPr>
      </w:pPr>
      <w:r>
        <w:rPr>
          <w:rFonts w:cs="Arial" w:ascii="Arial" w:hAnsi="Arial"/>
        </w:rPr>
        <w:t>Implementation of broad-based stock plans</w:t>
      </w:r>
    </w:p>
    <w:p>
      <w:pPr>
        <w:pStyle w:val="Normal"/>
        <w:numPr>
          <w:ilvl w:val="0"/>
          <w:numId w:val="25"/>
        </w:numPr>
        <w:ind w:hanging="360" w:start="360" w:end="0"/>
        <w:rPr>
          <w:rFonts w:ascii="Arial" w:hAnsi="Arial" w:cs="Arial"/>
        </w:rPr>
      </w:pPr>
      <w:r>
        <w:rPr>
          <w:rFonts w:cs="Arial" w:ascii="Arial" w:hAnsi="Arial"/>
        </w:rPr>
        <w:t>Global HR database management including policies, compensation, and benefits</w:t>
      </w:r>
    </w:p>
    <w:p>
      <w:pPr>
        <w:pStyle w:val="Normal"/>
        <w:numPr>
          <w:ilvl w:val="0"/>
          <w:numId w:val="25"/>
        </w:numPr>
        <w:rPr>
          <w:rFonts w:ascii="Arial" w:hAnsi="Arial" w:cs="Arial"/>
        </w:rPr>
      </w:pPr>
      <w:r>
        <w:rPr>
          <w:rFonts w:cs="Arial" w:ascii="Arial" w:hAnsi="Arial"/>
        </w:rPr>
        <w:t>Compliance with international accounting standards</w:t>
      </w:r>
    </w:p>
    <w:p>
      <w:pPr>
        <w:pStyle w:val="Normal"/>
        <w:numPr>
          <w:ilvl w:val="0"/>
          <w:numId w:val="25"/>
        </w:numPr>
        <w:rPr>
          <w:rFonts w:ascii="Arial" w:hAnsi="Arial" w:cs="Arial"/>
        </w:rPr>
      </w:pPr>
      <w:r>
        <w:rPr>
          <w:rFonts w:cs="Arial" w:ascii="Arial" w:hAnsi="Arial"/>
        </w:rPr>
        <w:t>Global actuarial services</w:t>
      </w:r>
    </w:p>
    <w:p>
      <w:pPr>
        <w:pStyle w:val="Normal"/>
        <w:numPr>
          <w:ilvl w:val="0"/>
          <w:numId w:val="25"/>
        </w:numPr>
        <w:rPr>
          <w:rFonts w:ascii="Arial" w:hAnsi="Arial" w:cs="Arial"/>
        </w:rPr>
      </w:pPr>
      <w:r>
        <w:rPr>
          <w:rFonts w:cs="Arial" w:ascii="Arial" w:hAnsi="Arial"/>
        </w:rPr>
        <w:t>Global benefits risk management</w:t>
      </w:r>
    </w:p>
    <w:p>
      <w:pPr>
        <w:pStyle w:val="Normal"/>
        <w:numPr>
          <w:ilvl w:val="0"/>
          <w:numId w:val="25"/>
        </w:numPr>
        <w:rPr>
          <w:rFonts w:ascii="Arial" w:hAnsi="Arial" w:cs="Arial"/>
        </w:rPr>
      </w:pPr>
      <w:r>
        <w:rPr>
          <w:rFonts w:cs="Arial" w:ascii="Arial" w:hAnsi="Arial"/>
        </w:rPr>
        <w:t>Country-specific research and information</w:t>
      </w:r>
    </w:p>
    <w:p>
      <w:pPr>
        <w:pStyle w:val="Normal"/>
        <w:numPr>
          <w:ilvl w:val="0"/>
          <w:numId w:val="25"/>
        </w:numPr>
        <w:rPr>
          <w:rFonts w:ascii="Arial" w:hAnsi="Arial" w:cs="Arial"/>
        </w:rPr>
      </w:pPr>
      <w:r>
        <w:rPr>
          <w:rFonts w:cs="Arial" w:ascii="Arial" w:hAnsi="Arial"/>
        </w:rPr>
        <w:t>Coordination of tax and accounting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International practice also coordinates the services provided to the subsidiaries of multinational companies through Mercer’s network of local offices around the world.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440" w:right="1440"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Fonts w:cs="Arial" w:ascii="Arial" w:hAnsi="Arial"/>
        <w:color w:val="008080"/>
        <w:sz w:val="20"/>
      </w:rPr>
      <w:tab/>
      <w:tab/>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7</w:t>
    </w:r>
    <w:r>
      <w:rPr>
        <w:rStyle w:val="PageNumber"/>
        <w:sz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bottom w:val="single" w:sz="24" w:space="0" w:color="000000"/>
          </w:tcBorders>
        </w:tcPr>
        <w:p>
          <w:pPr>
            <w:pStyle w:val="Header"/>
            <w:rPr>
              <w:rFonts w:ascii="Arial" w:hAnsi="Arial" w:cs="Arial"/>
              <w:b/>
              <w:color w:val="008080"/>
              <w:sz w:val="40"/>
            </w:rPr>
          </w:pPr>
          <w:r>
            <w:rPr>
              <w:rFonts w:cs="Arial" w:ascii="Arial" w:hAnsi="Arial"/>
              <w:b/>
              <w:color w:val="008080"/>
              <w:sz w:val="40"/>
            </w:rPr>
            <w:t>William M. Mercer, Incorporated</w:t>
          </w:r>
        </w:p>
      </w:tc>
    </w:tr>
  </w:tbl>
  <w:p>
    <w:pPr>
      <w:pStyle w:val="Header"/>
      <w:rPr>
        <w:rFonts w:ascii="Arial" w:hAnsi="Arial" w:cs="Arial"/>
        <w:b/>
        <w:color w:val="008080"/>
        <w:sz w:val="32"/>
      </w:rPr>
    </w:pPr>
    <w:r>
      <w:rPr>
        <w:rFonts w:cs="Arial" w:ascii="Arial" w:hAnsi="Arial"/>
        <w:b/>
        <w:color w:val="008080"/>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3">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4">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5">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6">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7">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8">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0">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11">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12">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13">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14">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8">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19">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2">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3">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4">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5">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6">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7">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8">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abstractNum w:abstractNumId="29">
    <w:lvl w:ilvl="0">
      <w:start w:val="1"/>
      <w:numFmt w:val="bullet"/>
      <w:lvlText w:val=""/>
      <w:lvlJc w:val="start"/>
      <w:pPr>
        <w:tabs>
          <w:tab w:val="num" w:pos="360"/>
        </w:tabs>
        <w:ind w:start="216" w:hanging="216"/>
      </w:pPr>
      <w:rPr>
        <w:rFonts w:ascii="Wingdings" w:hAnsi="Wingdings" w:cs="Wingdings" w:hint="default"/>
      </w:rPr>
    </w:lvl>
    <w:lvl w:ilvl="1">
      <w:start w:val="1"/>
      <w:numFmt w:val="bullet"/>
      <w:lvlText w:val="–"/>
      <w:lvlJc w:val="start"/>
      <w:pPr>
        <w:tabs>
          <w:tab w:val="num" w:pos="576"/>
        </w:tabs>
        <w:ind w:start="432" w:hanging="216"/>
      </w:pPr>
      <w:rPr>
        <w:rFonts w:ascii="Times New Roman" w:hAnsi="Times New Roman" w:cs="Times New Roman" w:hint="default"/>
      </w:rPr>
    </w:lvl>
    <w:lvl w:ilvl="2">
      <w:start w:val="1"/>
      <w:numFmt w:val="bullet"/>
      <w:lvlText w:val=""/>
      <w:lvlJc w:val="start"/>
      <w:pPr>
        <w:tabs>
          <w:tab w:val="num" w:pos="792"/>
        </w:tabs>
        <w:ind w:start="648" w:hanging="216"/>
      </w:pPr>
      <w:rPr>
        <w:rFonts w:ascii="Wingdings" w:hAnsi="Wingdings" w:cs="Wingdings" w:hint="default"/>
      </w:rPr>
    </w:lvl>
    <w:lvl w:ilvl="3">
      <w:start w:val="1"/>
      <w:numFmt w:val="bullet"/>
      <w:lvlText w:val=""/>
      <w:lvlJc w:val="start"/>
      <w:pPr>
        <w:tabs>
          <w:tab w:val="num" w:pos="1008"/>
        </w:tabs>
        <w:ind w:start="864" w:hanging="216"/>
      </w:pPr>
      <w:rPr>
        <w:rFonts w:ascii="Wingdings" w:hAnsi="Wingdings" w:cs="Wingdings" w:hint="default"/>
      </w:rPr>
    </w:lvl>
    <w:lvl w:ilvl="4">
      <w:start w:val="1"/>
      <w:numFmt w:val="bullet"/>
      <w:lvlText w:val=""/>
      <w:lvlJc w:val="start"/>
      <w:pPr>
        <w:tabs>
          <w:tab w:val="num" w:pos="1224"/>
        </w:tabs>
        <w:ind w:start="1080" w:hanging="216"/>
      </w:pPr>
      <w:rPr>
        <w:rFonts w:ascii="Wingdings" w:hAnsi="Wingdings" w:cs="Wingdings" w:hint="default"/>
      </w:rPr>
    </w:lvl>
    <w:lvl w:ilvl="5">
      <w:start w:val="1"/>
      <w:numFmt w:val="bullet"/>
      <w:lvlText w:val="»"/>
      <w:lvlJc w:val="start"/>
      <w:pPr>
        <w:tabs>
          <w:tab w:val="num" w:pos="1440"/>
        </w:tabs>
        <w:ind w:start="1296" w:hanging="216"/>
      </w:pPr>
      <w:rPr>
        <w:rFonts w:ascii="Times New Roman" w:hAnsi="Times New Roman" w:cs="Times New Roman" w:hint="default"/>
      </w:rPr>
    </w:lvl>
    <w:lvl w:ilvl="6">
      <w:start w:val="1"/>
      <w:numFmt w:val="bullet"/>
      <w:lvlText w:val=""/>
      <w:lvlJc w:val="start"/>
      <w:pPr>
        <w:tabs>
          <w:tab w:val="num" w:pos="1656"/>
        </w:tabs>
        <w:ind w:start="1512" w:hanging="216"/>
      </w:pPr>
      <w:rPr>
        <w:rFonts w:ascii="Symbol" w:hAnsi="Symbol" w:cs="Symbol" w:hint="default"/>
      </w:rPr>
    </w:lvl>
    <w:lvl w:ilvl="7">
      <w:start w:val="1"/>
      <w:numFmt w:val="bullet"/>
      <w:lvlText w:val="¤"/>
      <w:lvlJc w:val="start"/>
      <w:pPr>
        <w:tabs>
          <w:tab w:val="num" w:pos="1872"/>
        </w:tabs>
        <w:ind w:start="1728" w:hanging="216"/>
      </w:pPr>
      <w:rPr>
        <w:rFonts w:ascii="Times New Roman" w:hAnsi="Times New Roman" w:cs="Times New Roman" w:hint="default"/>
      </w:rPr>
    </w:lvl>
    <w:lvl w:ilvl="8">
      <w:start w:val="1"/>
      <w:numFmt w:val="bullet"/>
      <w:lvlText w:val=""/>
      <w:lvlJc w:val="start"/>
      <w:pPr>
        <w:tabs>
          <w:tab w:val="num" w:pos="2088"/>
        </w:tabs>
        <w:ind w:start="1944" w:hanging="216"/>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Black" w:hAnsi="Arial Black" w:cs="Arial Black"/>
      <w:kern w:val="2"/>
      <w:sz w:val="23"/>
    </w:rPr>
  </w:style>
  <w:style w:type="paragraph" w:styleId="Heading2">
    <w:name w:val="heading 2"/>
    <w:basedOn w:val="Normal"/>
    <w:next w:val="Normal"/>
    <w:qFormat/>
    <w:pPr>
      <w:keepNext w:val="true"/>
      <w:numPr>
        <w:ilvl w:val="1"/>
        <w:numId w:val="1"/>
      </w:numPr>
      <w:spacing w:before="0" w:after="120"/>
      <w:outlineLvl w:val="1"/>
    </w:pPr>
    <w:rPr>
      <w:rFonts w:ascii="Arial Black" w:hAnsi="Arial Black" w:cs="Arial Black"/>
      <w:i/>
      <w:sz w:val="22"/>
    </w:rPr>
  </w:style>
  <w:style w:type="paragraph" w:styleId="Heading3">
    <w:name w:val="heading 3"/>
    <w:basedOn w:val="Normal"/>
    <w:next w:val="Normal"/>
    <w:qFormat/>
    <w:pPr>
      <w:keepNext w:val="true"/>
      <w:numPr>
        <w:ilvl w:val="2"/>
        <w:numId w:val="1"/>
      </w:numPr>
      <w:spacing w:before="0" w:after="120"/>
      <w:outlineLvl w:val="2"/>
    </w:pPr>
    <w:rPr>
      <w:rFonts w:ascii="Arial" w:hAnsi="Arial" w:cs="Arial"/>
      <w:i/>
    </w:rPr>
  </w:style>
  <w:style w:type="paragraph" w:styleId="Heading4">
    <w:name w:val="heading 4"/>
    <w:basedOn w:val="Normal"/>
    <w:next w:val="Normal"/>
    <w:qFormat/>
    <w:pPr>
      <w:keepNext w:val="true"/>
      <w:numPr>
        <w:ilvl w:val="3"/>
        <w:numId w:val="1"/>
      </w:numPr>
      <w:spacing w:before="0" w:after="120"/>
      <w:outlineLvl w:val="3"/>
    </w:pPr>
    <w:rPr>
      <w:i/>
      <w:sz w:val="26"/>
    </w:rPr>
  </w:style>
  <w:style w:type="paragraph" w:styleId="Heading5">
    <w:name w:val="heading 5"/>
    <w:basedOn w:val="Normal"/>
    <w:next w:val="Normal"/>
    <w:qFormat/>
    <w:pPr>
      <w:keepNext w:val="true"/>
      <w:numPr>
        <w:ilvl w:val="4"/>
        <w:numId w:val="1"/>
      </w:numPr>
      <w:outlineLvl w:val="4"/>
    </w:pPr>
    <w:rPr>
      <w:rFonts w:ascii="Arial" w:hAnsi="Arial" w:cs="Arial"/>
      <w:b/>
      <w:sz w:val="28"/>
    </w:rPr>
  </w:style>
  <w:style w:type="character" w:styleId="WW8Num1z0">
    <w:name w:val="WW8Num1z0"/>
    <w:qFormat/>
    <w:rPr>
      <w:rFonts w:ascii="Wingdings" w:hAnsi="Wingdings" w:cs="Wingdings"/>
    </w:rPr>
  </w:style>
  <w:style w:type="character" w:styleId="WW8Num1z1">
    <w:name w:val="WW8Num1z1"/>
    <w:qFormat/>
    <w:rPr>
      <w:rFonts w:ascii="Times New Roman" w:hAnsi="Times New Roman" w:cs="Times New Roman"/>
    </w:rPr>
  </w:style>
  <w:style w:type="character" w:styleId="WW8Num1z6">
    <w:name w:val="WW8Num1z6"/>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Times New Roman" w:hAnsi="Times New Roman" w:cs="Times New Roman"/>
    </w:rPr>
  </w:style>
  <w:style w:type="character" w:styleId="WW8Num2z6">
    <w:name w:val="WW8Num2z6"/>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Times New Roman" w:hAnsi="Times New Roman" w:cs="Times New Roman"/>
    </w:rPr>
  </w:style>
  <w:style w:type="character" w:styleId="WW8Num3z6">
    <w:name w:val="WW8Num3z6"/>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Times New Roman" w:hAnsi="Times New Roman" w:cs="Times New Roman"/>
    </w:rPr>
  </w:style>
  <w:style w:type="character" w:styleId="WW8Num4z6">
    <w:name w:val="WW8Num4z6"/>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Times New Roman" w:hAnsi="Times New Roman" w:cs="Times New Roman"/>
    </w:rPr>
  </w:style>
  <w:style w:type="character" w:styleId="WW8Num5z6">
    <w:name w:val="WW8Num5z6"/>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Times New Roman" w:hAnsi="Times New Roman" w:cs="Times New Roman"/>
    </w:rPr>
  </w:style>
  <w:style w:type="character" w:styleId="WW8Num6z6">
    <w:name w:val="WW8Num6z6"/>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Times New Roman" w:hAnsi="Times New Roman" w:cs="Times New Roman"/>
    </w:rPr>
  </w:style>
  <w:style w:type="character" w:styleId="WW8Num7z6">
    <w:name w:val="WW8Num7z6"/>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Times New Roman" w:hAnsi="Times New Roman" w:cs="Times New Roman"/>
    </w:rPr>
  </w:style>
  <w:style w:type="character" w:styleId="WW8Num8z6">
    <w:name w:val="WW8Num8z6"/>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Times New Roman" w:hAnsi="Times New Roman" w:cs="Times New Roman"/>
    </w:rPr>
  </w:style>
  <w:style w:type="character" w:styleId="WW8Num9z6">
    <w:name w:val="WW8Num9z6"/>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Times New Roman" w:hAnsi="Times New Roman" w:cs="Times New Roman"/>
    </w:rPr>
  </w:style>
  <w:style w:type="character" w:styleId="WW8Num10z6">
    <w:name w:val="WW8Num10z6"/>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Times New Roman" w:hAnsi="Times New Roman" w:cs="Times New Roman"/>
    </w:rPr>
  </w:style>
  <w:style w:type="character" w:styleId="WW8Num11z6">
    <w:name w:val="WW8Num11z6"/>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Times New Roman" w:hAnsi="Times New Roman" w:cs="Times New Roman"/>
    </w:rPr>
  </w:style>
  <w:style w:type="character" w:styleId="WW8Num13z6">
    <w:name w:val="WW8Num13z6"/>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Times New Roman" w:hAnsi="Times New Roman" w:cs="Times New Roman"/>
    </w:rPr>
  </w:style>
  <w:style w:type="character" w:styleId="WW8Num14z6">
    <w:name w:val="WW8Num14z6"/>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Times New Roman" w:hAnsi="Times New Roman" w:cs="Times New Roman"/>
    </w:rPr>
  </w:style>
  <w:style w:type="character" w:styleId="WW8Num15z6">
    <w:name w:val="WW8Num15z6"/>
    <w:qFormat/>
    <w:rPr>
      <w:rFonts w:ascii="Symbol" w:hAnsi="Symbol" w:cs="Symbol"/>
    </w:rPr>
  </w:style>
  <w:style w:type="character" w:styleId="WW8Num16z0">
    <w:name w:val="WW8Num16z0"/>
    <w:qFormat/>
    <w:rPr>
      <w:rFonts w:ascii="Times New Roman" w:hAnsi="Times New Roman" w:cs="Times New Roman"/>
    </w:rPr>
  </w:style>
  <w:style w:type="character" w:styleId="WW8Num17z0">
    <w:name w:val="WW8Num17z0"/>
    <w:qFormat/>
    <w:rPr>
      <w:rFonts w:ascii="Wingdings" w:hAnsi="Wingdings" w:cs="Wingdings"/>
    </w:rPr>
  </w:style>
  <w:style w:type="character" w:styleId="WW8Num17z1">
    <w:name w:val="WW8Num17z1"/>
    <w:qFormat/>
    <w:rPr>
      <w:rFonts w:ascii="Times New Roman" w:hAnsi="Times New Roman" w:cs="Times New Roman"/>
    </w:rPr>
  </w:style>
  <w:style w:type="character" w:styleId="WW8Num17z6">
    <w:name w:val="WW8Num17z6"/>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Times New Roman" w:hAnsi="Times New Roman" w:cs="Times New Roman"/>
    </w:rPr>
  </w:style>
  <w:style w:type="character" w:styleId="WW8Num18z6">
    <w:name w:val="WW8Num18z6"/>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Times New Roman" w:hAnsi="Times New Roman" w:cs="Times New Roman"/>
    </w:rPr>
  </w:style>
  <w:style w:type="character" w:styleId="WW8Num19z6">
    <w:name w:val="WW8Num19z6"/>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Times New Roman" w:hAnsi="Times New Roman" w:cs="Times New Roman"/>
    </w:rPr>
  </w:style>
  <w:style w:type="character" w:styleId="WW8Num20z6">
    <w:name w:val="WW8Num20z6"/>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Times New Roman" w:hAnsi="Times New Roman" w:cs="Times New Roman"/>
    </w:rPr>
  </w:style>
  <w:style w:type="character" w:styleId="WW8Num21z6">
    <w:name w:val="WW8Num21z6"/>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Times New Roman" w:hAnsi="Times New Roman" w:cs="Times New Roman"/>
    </w:rPr>
  </w:style>
  <w:style w:type="character" w:styleId="WW8Num22z6">
    <w:name w:val="WW8Num22z6"/>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Times New Roman" w:hAnsi="Times New Roman" w:cs="Times New Roman"/>
    </w:rPr>
  </w:style>
  <w:style w:type="character" w:styleId="WW8Num23z6">
    <w:name w:val="WW8Num23z6"/>
    <w:qFormat/>
    <w:rPr>
      <w:rFonts w:ascii="Symbol" w:hAnsi="Symbol" w:cs="Symbol"/>
    </w:rPr>
  </w:style>
  <w:style w:type="character" w:styleId="WW8Num24z0">
    <w:name w:val="WW8Num24z0"/>
    <w:qFormat/>
    <w:rPr>
      <w:rFonts w:ascii="Times New Roman" w:hAnsi="Times New Roman" w:cs="Times New Roman"/>
    </w:rPr>
  </w:style>
  <w:style w:type="character" w:styleId="WW8Num25z0">
    <w:name w:val="WW8Num25z0"/>
    <w:qFormat/>
    <w:rPr>
      <w:rFonts w:ascii="Wingdings" w:hAnsi="Wingdings" w:cs="Wingdings"/>
    </w:rPr>
  </w:style>
  <w:style w:type="character" w:styleId="WW8Num25z1">
    <w:name w:val="WW8Num25z1"/>
    <w:qFormat/>
    <w:rPr>
      <w:rFonts w:ascii="Times New Roman" w:hAnsi="Times New Roman" w:cs="Times New Roman"/>
    </w:rPr>
  </w:style>
  <w:style w:type="character" w:styleId="WW8Num25z6">
    <w:name w:val="WW8Num25z6"/>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Times New Roman" w:hAnsi="Times New Roman" w:cs="Times New Roman"/>
    </w:rPr>
  </w:style>
  <w:style w:type="character" w:styleId="WW8Num26z6">
    <w:name w:val="WW8Num26z6"/>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Times New Roman" w:hAnsi="Times New Roman" w:cs="Times New Roman"/>
    </w:rPr>
  </w:style>
  <w:style w:type="character" w:styleId="WW8Num27z6">
    <w:name w:val="WW8Num27z6"/>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Times New Roman" w:hAnsi="Times New Roman" w:cs="Times New Roman"/>
    </w:rPr>
  </w:style>
  <w:style w:type="character" w:styleId="WW8Num28z6">
    <w:name w:val="WW8Num28z6"/>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Times New Roman" w:hAnsi="Times New Roman" w:cs="Times New Roman"/>
    </w:rPr>
  </w:style>
  <w:style w:type="character" w:styleId="WW8Num29z6">
    <w:name w:val="WW8Num29z6"/>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Times New Roman" w:hAnsi="Times New Roman" w:cs="Times New Roman"/>
    </w:rPr>
  </w:style>
  <w:style w:type="character" w:styleId="WW8Num30z6">
    <w:name w:val="WW8Num30z6"/>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3z1">
    <w:name w:val="WW8Num33z1"/>
    <w:qFormat/>
    <w:rPr>
      <w:rFonts w:ascii="Times New Roman" w:hAnsi="Times New Roman" w:cs="Times New Roman"/>
    </w:rPr>
  </w:style>
  <w:style w:type="character" w:styleId="WW8Num33z6">
    <w:name w:val="WW8Num33z6"/>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Times New Roman" w:hAnsi="Times New Roman" w:cs="Times New Roman"/>
    </w:rPr>
  </w:style>
  <w:style w:type="character" w:styleId="WW8Num34z6">
    <w:name w:val="WW8Num34z6"/>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Times New Roman" w:hAnsi="Times New Roman" w:cs="Times New Roman"/>
    </w:rPr>
  </w:style>
  <w:style w:type="character" w:styleId="WW8Num35z6">
    <w:name w:val="WW8Num35z6"/>
    <w:qFormat/>
    <w:rPr>
      <w:rFonts w:ascii="Symbol" w:hAnsi="Symbol" w:cs="Symbol"/>
    </w:rPr>
  </w:style>
  <w:style w:type="character" w:styleId="WW8Num36z0">
    <w:name w:val="WW8Num36z0"/>
    <w:qFormat/>
    <w:rPr>
      <w:rFonts w:ascii="Times New Roman" w:hAnsi="Times New Roman" w:cs="Times New Roman"/>
    </w:rPr>
  </w:style>
  <w:style w:type="character" w:styleId="WW8Num37z0">
    <w:name w:val="WW8Num37z0"/>
    <w:qFormat/>
    <w:rPr>
      <w:rFonts w:ascii="Wingdings" w:hAnsi="Wingdings" w:cs="Wingdings"/>
    </w:rPr>
  </w:style>
  <w:style w:type="character" w:styleId="WW8Num37z1">
    <w:name w:val="WW8Num37z1"/>
    <w:qFormat/>
    <w:rPr>
      <w:rFonts w:ascii="Times New Roman" w:hAnsi="Times New Roman" w:cs="Times New Roman"/>
    </w:rPr>
  </w:style>
  <w:style w:type="character" w:styleId="WW8Num37z6">
    <w:name w:val="WW8Num37z6"/>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Times New Roman" w:hAnsi="Times New Roman" w:cs="Times New Roman"/>
    </w:rPr>
  </w:style>
  <w:style w:type="character" w:styleId="WW8Num38z6">
    <w:name w:val="WW8Num38z6"/>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0z1">
    <w:name w:val="WW8Num40z1"/>
    <w:qFormat/>
    <w:rPr>
      <w:rFonts w:ascii="Times New Roman" w:hAnsi="Times New Roman" w:cs="Times New Roman"/>
    </w:rPr>
  </w:style>
  <w:style w:type="character" w:styleId="WW8Num40z6">
    <w:name w:val="WW8Num40z6"/>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Times New Roman" w:hAnsi="Times New Roman" w:cs="Times New Roman"/>
    </w:rPr>
  </w:style>
  <w:style w:type="character" w:styleId="WW8Num41z6">
    <w:name w:val="WW8Num41z6"/>
    <w:qFormat/>
    <w:rPr>
      <w:rFonts w:ascii="Symbol" w:hAnsi="Symbol" w:cs="Symbol"/>
    </w:rPr>
  </w:style>
  <w:style w:type="character" w:styleId="WW8Num42z0">
    <w:name w:val="WW8Num42z0"/>
    <w:qFormat/>
    <w:rPr>
      <w:rFonts w:ascii="Wingdings" w:hAnsi="Wingdings" w:cs="Wingdings"/>
    </w:rPr>
  </w:style>
  <w:style w:type="character" w:styleId="WW8Num42z1">
    <w:name w:val="WW8Num42z1"/>
    <w:qFormat/>
    <w:rPr>
      <w:rFonts w:ascii="Times New Roman" w:hAnsi="Times New Roman" w:cs="Times New Roman"/>
    </w:rPr>
  </w:style>
  <w:style w:type="character" w:styleId="WW8Num42z6">
    <w:name w:val="WW8Num42z6"/>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5z1">
    <w:name w:val="WW8Num45z1"/>
    <w:qFormat/>
    <w:rPr>
      <w:rFonts w:ascii="Times New Roman" w:hAnsi="Times New Roman" w:cs="Times New Roman"/>
    </w:rPr>
  </w:style>
  <w:style w:type="character" w:styleId="WW8Num45z6">
    <w:name w:val="WW8Num45z6"/>
    <w:qFormat/>
    <w:rPr>
      <w:rFonts w:ascii="Symbol" w:hAnsi="Symbol" w:cs="Symbol"/>
    </w:rPr>
  </w:style>
  <w:style w:type="character" w:styleId="WW8Num46z0">
    <w:name w:val="WW8Num46z0"/>
    <w:qFormat/>
    <w:rPr>
      <w:rFonts w:ascii="Wingdings" w:hAnsi="Wingdings" w:cs="Wingdings"/>
    </w:rPr>
  </w:style>
  <w:style w:type="character" w:styleId="WW8Num46z1">
    <w:name w:val="WW8Num46z1"/>
    <w:qFormat/>
    <w:rPr>
      <w:rFonts w:ascii="Times New Roman" w:hAnsi="Times New Roman" w:cs="Times New Roman"/>
    </w:rPr>
  </w:style>
  <w:style w:type="character" w:styleId="WW8Num46z6">
    <w:name w:val="WW8Num46z6"/>
    <w:qFormat/>
    <w:rPr>
      <w:rFonts w:ascii="Symbol" w:hAnsi="Symbol" w:cs="Symbol"/>
    </w:rPr>
  </w:style>
  <w:style w:type="character" w:styleId="WW8Num47z0">
    <w:name w:val="WW8Num47z0"/>
    <w:qFormat/>
    <w:rPr>
      <w:rFonts w:ascii="Wingdings" w:hAnsi="Wingdings" w:cs="Wingdings"/>
    </w:rPr>
  </w:style>
  <w:style w:type="character" w:styleId="WW8Num47z1">
    <w:name w:val="WW8Num47z1"/>
    <w:qFormat/>
    <w:rPr>
      <w:rFonts w:ascii="Times New Roman" w:hAnsi="Times New Roman" w:cs="Times New Roman"/>
    </w:rPr>
  </w:style>
  <w:style w:type="character" w:styleId="WW8Num47z6">
    <w:name w:val="WW8Num47z6"/>
    <w:qFormat/>
    <w:rPr>
      <w:rFonts w:ascii="Symbol" w:hAnsi="Symbol" w:cs="Symbol"/>
    </w:rPr>
  </w:style>
  <w:style w:type="character" w:styleId="WW8Num48z0">
    <w:name w:val="WW8Num48z0"/>
    <w:qFormat/>
    <w:rPr>
      <w:rFonts w:ascii="Wingdings" w:hAnsi="Wingdings" w:cs="Wingdings"/>
    </w:rPr>
  </w:style>
  <w:style w:type="character" w:styleId="WW8Num48z1">
    <w:name w:val="WW8Num48z1"/>
    <w:qFormat/>
    <w:rPr>
      <w:rFonts w:ascii="Times New Roman" w:hAnsi="Times New Roman" w:cs="Times New Roman"/>
    </w:rPr>
  </w:style>
  <w:style w:type="character" w:styleId="WW8Num48z6">
    <w:name w:val="WW8Num48z6"/>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Times New Roman" w:hAnsi="Times New Roman" w:cs="Times New Roman"/>
    </w:rPr>
  </w:style>
  <w:style w:type="character" w:styleId="WW8Num49z6">
    <w:name w:val="WW8Num49z6"/>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Times New Roman" w:hAnsi="Times New Roman" w:cs="Times New Roman"/>
    </w:rPr>
  </w:style>
  <w:style w:type="character" w:styleId="WW8Num50z6">
    <w:name w:val="WW8Num50z6"/>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Times New Roman" w:hAnsi="Times New Roman" w:cs="Times New Roman"/>
    </w:rPr>
  </w:style>
  <w:style w:type="character" w:styleId="WW8Num51z6">
    <w:name w:val="WW8Num51z6"/>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Times New Roman" w:hAnsi="Times New Roman" w:cs="Times New Roman"/>
    </w:rPr>
  </w:style>
  <w:style w:type="character" w:styleId="WW8Num52z6">
    <w:name w:val="WW8Num52z6"/>
    <w:qFormat/>
    <w:rPr>
      <w:rFonts w:ascii="Symbol" w:hAnsi="Symbol" w:cs="Symbol"/>
    </w:rPr>
  </w:style>
  <w:style w:type="character" w:styleId="WW8Num53z0">
    <w:name w:val="WW8Num53z0"/>
    <w:qFormat/>
    <w:rPr>
      <w:rFonts w:ascii="Wingdings" w:hAnsi="Wingdings" w:cs="Wingdings"/>
    </w:rPr>
  </w:style>
  <w:style w:type="character" w:styleId="WW8Num53z1">
    <w:name w:val="WW8Num53z1"/>
    <w:qFormat/>
    <w:rPr>
      <w:rFonts w:ascii="Times New Roman" w:hAnsi="Times New Roman" w:cs="Times New Roman"/>
    </w:rPr>
  </w:style>
  <w:style w:type="character" w:styleId="WW8Num53z6">
    <w:name w:val="WW8Num53z6"/>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Times New Roman" w:hAnsi="Times New Roman" w:cs="Times New Roman"/>
    </w:rPr>
  </w:style>
  <w:style w:type="character" w:styleId="WW8Num54z6">
    <w:name w:val="WW8Num54z6"/>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Times New Roman" w:hAnsi="Times New Roman" w:cs="Times New Roman"/>
    </w:rPr>
  </w:style>
  <w:style w:type="character" w:styleId="WW8Num55z6">
    <w:name w:val="WW8Num55z6"/>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Times New Roman" w:hAnsi="Times New Roman" w:cs="Times New Roman"/>
    </w:rPr>
  </w:style>
  <w:style w:type="character" w:styleId="WW8Num56z6">
    <w:name w:val="WW8Num56z6"/>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rFonts w:ascii="Times New Roman" w:hAnsi="Times New Roman" w:cs="Times New Roman"/>
    </w:rPr>
  </w:style>
  <w:style w:type="character" w:styleId="WW8Num57z6">
    <w:name w:val="WW8Num57z6"/>
    <w:qFormat/>
    <w:rPr>
      <w:rFonts w:ascii="Symbol" w:hAnsi="Symbol" w:cs="Symbol"/>
    </w:rPr>
  </w:style>
  <w:style w:type="character" w:styleId="WW8Num58z0">
    <w:name w:val="WW8Num58z0"/>
    <w:qFormat/>
    <w:rPr>
      <w:rFonts w:ascii="Wingdings" w:hAnsi="Wingdings" w:cs="Wingdings"/>
    </w:rPr>
  </w:style>
  <w:style w:type="character" w:styleId="WW8Num58z1">
    <w:name w:val="WW8Num58z1"/>
    <w:qFormat/>
    <w:rPr>
      <w:rFonts w:ascii="Times New Roman" w:hAnsi="Times New Roman" w:cs="Times New Roman"/>
    </w:rPr>
  </w:style>
  <w:style w:type="character" w:styleId="WW8Num58z6">
    <w:name w:val="WW8Num58z6"/>
    <w:qFormat/>
    <w:rPr>
      <w:rFonts w:ascii="Symbol" w:hAnsi="Symbol" w:cs="Symbol"/>
    </w:rPr>
  </w:style>
  <w:style w:type="character" w:styleId="WW8Num59z0">
    <w:name w:val="WW8Num59z0"/>
    <w:qFormat/>
    <w:rPr>
      <w:rFonts w:ascii="Wingdings" w:hAnsi="Wingdings" w:cs="Wingdings"/>
    </w:rPr>
  </w:style>
  <w:style w:type="character" w:styleId="WW8Num59z1">
    <w:name w:val="WW8Num59z1"/>
    <w:qFormat/>
    <w:rPr>
      <w:rFonts w:ascii="Times New Roman" w:hAnsi="Times New Roman" w:cs="Times New Roman"/>
    </w:rPr>
  </w:style>
  <w:style w:type="character" w:styleId="WW8Num59z6">
    <w:name w:val="WW8Num59z6"/>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1z1">
    <w:name w:val="WW8Num61z1"/>
    <w:qFormat/>
    <w:rPr>
      <w:rFonts w:ascii="Times New Roman" w:hAnsi="Times New Roman" w:cs="Times New Roman"/>
    </w:rPr>
  </w:style>
  <w:style w:type="character" w:styleId="WW8Num61z6">
    <w:name w:val="WW8Num61z6"/>
    <w:qFormat/>
    <w:rPr>
      <w:rFonts w:ascii="Symbol" w:hAnsi="Symbol" w:cs="Symbol"/>
    </w:rPr>
  </w:style>
  <w:style w:type="character" w:styleId="WW8Num62z0">
    <w:name w:val="WW8Num62z0"/>
    <w:qFormat/>
    <w:rPr>
      <w:rFonts w:ascii="Wingdings" w:hAnsi="Wingdings" w:cs="Wingdings"/>
    </w:rPr>
  </w:style>
  <w:style w:type="character" w:styleId="DefaultParagraphFont">
    <w:name w:val="Default Paragraph Font"/>
    <w:qFormat/>
    <w:rPr>
      <w:lang w:val="en-US"/>
    </w:rPr>
  </w:style>
  <w:style w:type="character" w:styleId="Emphasis">
    <w:name w:val="Emphasis"/>
    <w:basedOn w:val="DefaultParagraphFont"/>
    <w:qFormat/>
    <w:rPr>
      <w:rFonts w:ascii="Arial Black" w:hAnsi="Arial Black" w:cs="Arial Black"/>
      <w:sz w:val="20"/>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hanging="144" w:start="144" w:end="0"/>
    </w:pPr>
    <w:rPr>
      <w:i/>
      <w:sz w:val="22"/>
    </w:rPr>
  </w:style>
  <w:style w:type="paragraph" w:styleId="EnvelopeAddress">
    <w:name w:val="envelope address"/>
    <w:basedOn w:val="Normal"/>
    <w:pPr/>
    <w:rPr/>
  </w:style>
  <w:style w:type="paragraph" w:styleId="EnvelopeReturn">
    <w:name w:val="envelope return"/>
    <w:basedOn w:val="Normal"/>
    <w:pPr/>
    <w:rPr>
      <w:sz w:val="20"/>
    </w:rPr>
  </w:style>
  <w:style w:type="paragraph" w:styleId="PathFile">
    <w:name w:val="PathFile"/>
    <w:basedOn w:val="Normal"/>
    <w:next w:val="Normal"/>
    <w:qFormat/>
    <w:pPr/>
    <w:rPr>
      <w:rFonts w:ascii="Arial" w:hAnsi="Arial" w:cs="Arial"/>
      <w:sz w:val="1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2001-10-02T19:48:00Z</dcterms:created>
  <dc:creator>Georgia Graham</dc:creator>
  <dc:description/>
  <dc:language>en-CA</dc:language>
  <cp:lastModifiedBy>Philip M Tenenbaum</cp:lastModifiedBy>
  <cp:lastPrinted>2001-04-06T14:56:00Z</cp:lastPrinted>
  <dcterms:modified xsi:type="dcterms:W3CDTF">2001-10-02T19:48:00Z</dcterms:modified>
  <cp:revision>2</cp:revision>
  <dc:subject/>
  <dc:title>"Mercer overview.doc"</dc:title>
</cp:coreProperties>
</file>