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etterhead"/>
        <w:rPr>
          <w:sz w:val="24"/>
        </w:rPr>
      </w:pPr>
      <w:r>
        <w:rPr/>
        <w:t>AN</w:t>
      </w:r>
      <w:r>
        <w:fldChar w:fldCharType="begin"/>
      </w:r>
      <w:r>
        <w:rPr/>
        <w:instrText xml:space="preserve">ADVANCE \l 1</w:instrText>
      </w:r>
      <w:r>
        <w:rPr/>
      </w:r>
      <w:r>
        <w:rPr/>
        <w:fldChar w:fldCharType="separate"/>
      </w:r>
      <w:r>
        <w:rPr/>
      </w:r>
      <w:r>
        <w:rPr/>
      </w:r>
      <w:r>
        <w:rPr/>
        <w:fldChar w:fldCharType="end"/>
      </w:r>
      <w:r>
        <w:rPr/>
        <w:t>DR</w:t>
      </w:r>
      <w:r>
        <w:fldChar w:fldCharType="begin"/>
      </w:r>
      <w:r>
        <w:rPr/>
        <w:instrText xml:space="preserve">ADVANCE \l 1</w:instrText>
      </w:r>
      <w:r>
        <w:rPr/>
      </w:r>
      <w:r>
        <w:rPr/>
        <w:fldChar w:fldCharType="separate"/>
      </w:r>
      <w:r>
        <w:rPr/>
      </w:r>
      <w:r>
        <w:rPr/>
      </w:r>
      <w:r>
        <w:rPr/>
        <w:fldChar w:fldCharType="end"/>
      </w:r>
      <w:r>
        <w:rPr/>
        <w:t xml:space="preserve">EwS </w:t>
      </w:r>
      <w:r>
        <w:fldChar w:fldCharType="begin"/>
      </w:r>
      <w:r>
        <w:rPr/>
        <w:instrText xml:space="preserve">ADVANCE \l 0</w:instrText>
      </w:r>
      <w:r>
        <w:rPr/>
      </w:r>
      <w:r>
        <w:rPr/>
        <w:fldChar w:fldCharType="separate"/>
      </w:r>
      <w:r>
        <w:rPr/>
      </w:r>
      <w:r>
        <w:rPr/>
      </w:r>
      <w:r>
        <w:rPr/>
        <w:fldChar w:fldCharType="end"/>
      </w:r>
      <w:r>
        <w:rPr>
          <w:rFonts w:cs="GoudyOlSt BT" w:ascii="GoudyOlSt BT" w:hAnsi="GoudyOlSt BT"/>
        </w:rPr>
        <w:t>&amp;</w:t>
      </w:r>
      <w:r>
        <w:fldChar w:fldCharType="begin"/>
      </w:r>
      <w:r>
        <w:rPr>
          <w:rFonts w:cs="GoudyOlSt BT" w:ascii="GoudyOlSt BT" w:hAnsi="GoudyOlSt BT"/>
        </w:rPr>
        <w:instrText xml:space="preserve">ADVANCE \l 1</w:instrText>
      </w:r>
      <w:r>
        <w:rPr>
          <w:rFonts w:cs="GoudyOlSt BT" w:ascii="GoudyOlSt BT" w:hAnsi="GoudyOlSt BT"/>
        </w:rPr>
      </w:r>
      <w:r>
        <w:rPr>
          <w:rFonts w:cs="GoudyOlSt BT" w:ascii="GoudyOlSt BT" w:hAnsi="GoudyOlSt BT"/>
        </w:rPr>
        <w:fldChar w:fldCharType="separate"/>
      </w:r>
      <w:r>
        <w:rPr>
          <w:rFonts w:cs="GoudyOlSt BT" w:ascii="GoudyOlSt BT" w:hAnsi="GoudyOlSt BT"/>
        </w:rPr>
      </w:r>
      <w:r>
        <w:rPr>
          <w:rFonts w:cs="GoudyOlSt BT" w:ascii="GoudyOlSt BT" w:hAnsi="GoudyOlSt BT"/>
        </w:rPr>
      </w:r>
      <w:r>
        <w:rPr>
          <w:rFonts w:cs="GoudyOlSt BT" w:ascii="GoudyOlSt BT" w:hAnsi="GoudyOlSt BT"/>
        </w:rPr>
        <w:fldChar w:fldCharType="end"/>
      </w:r>
      <w:r>
        <w:rPr/>
        <w:t xml:space="preserve"> KU</w:t>
      </w:r>
      <w:r>
        <w:fldChar w:fldCharType="begin"/>
      </w:r>
      <w:r>
        <w:rPr/>
        <w:instrText xml:space="preserve">ADVANCE \l 0</w:instrText>
      </w:r>
      <w:r>
        <w:rPr/>
      </w:r>
      <w:r>
        <w:rPr/>
        <w:fldChar w:fldCharType="separate"/>
      </w:r>
      <w:r>
        <w:rPr/>
      </w:r>
      <w:r>
        <w:rPr/>
      </w:r>
      <w:r>
        <w:rPr/>
        <w:fldChar w:fldCharType="end"/>
      </w:r>
      <w:r>
        <w:rPr/>
        <w:t>R</w:t>
      </w:r>
      <w:r>
        <w:fldChar w:fldCharType="begin"/>
      </w:r>
      <w:r>
        <w:rPr/>
        <w:instrText xml:space="preserve">ADVANCE \l 0</w:instrText>
      </w:r>
      <w:r>
        <w:rPr/>
      </w:r>
      <w:r>
        <w:rPr/>
        <w:fldChar w:fldCharType="separate"/>
      </w:r>
      <w:r>
        <w:rPr/>
      </w:r>
      <w:r>
        <w:rPr/>
      </w:r>
      <w:r>
        <w:rPr/>
        <w:fldChar w:fldCharType="end"/>
      </w:r>
      <w:r>
        <w:rPr/>
        <w:t>TH L.L.P</w:t>
      </w:r>
      <w:r>
        <w:fldChar w:fldCharType="begin"/>
      </w:r>
      <w:r>
        <w:rPr/>
        <w:instrText xml:space="preserve">ADVANCE \l 2</w:instrText>
      </w:r>
      <w:r>
        <w:rPr/>
      </w:r>
      <w:r>
        <w:rPr/>
        <w:fldChar w:fldCharType="separate"/>
      </w:r>
      <w:r>
        <w:rPr/>
      </w:r>
      <w:r>
        <w:rPr/>
      </w:r>
      <w:r>
        <w:rPr/>
        <w:fldChar w:fldCharType="end"/>
      </w:r>
      <w:r>
        <w:rPr/>
        <w:t>.</w:t>
      </w:r>
    </w:p>
    <w:p>
      <w:pPr>
        <w:pStyle w:val="MemoAddress"/>
        <w:rPr>
          <w:sz w:val="30"/>
        </w:rPr>
      </w:pPr>
      <w:r>
        <w:rPr/>
        <w:t>ATTORNEY</w:t>
      </w:r>
      <w:r>
        <w:fldChar w:fldCharType="begin"/>
      </w:r>
      <w:r>
        <w:rPr/>
        <w:instrText xml:space="preserve">ADVANCE \r 0</w:instrText>
      </w:r>
      <w:r>
        <w:rPr/>
      </w:r>
      <w:r>
        <w:rPr/>
        <w:fldChar w:fldCharType="separate"/>
      </w:r>
      <w:r>
        <w:rPr/>
      </w:r>
      <w:r>
        <w:rPr/>
      </w:r>
      <w:r>
        <w:rPr/>
        <w:fldChar w:fldCharType="end"/>
      </w:r>
      <w:r>
        <w:rPr/>
        <w:t>S</w:t>
      </w:r>
    </w:p>
    <w:p>
      <w:pPr>
        <w:pStyle w:val="MemoAddress"/>
        <w:rPr>
          <w:sz w:val="10"/>
        </w:rPr>
      </w:pPr>
      <w:r>
        <w:rPr>
          <w:sz w:val="10"/>
        </w:rPr>
      </w:r>
    </w:p>
    <w:p>
      <w:pPr>
        <w:pStyle w:val="MemoAddress"/>
        <w:rPr>
          <w:rFonts w:ascii="GoudyTrajanRegular" w:hAnsi="GoudyTrajanRegular" w:cs="GoudyTrajanRegular"/>
          <w:sz w:val="13"/>
        </w:rPr>
      </w:pPr>
      <w:r>
        <w:rPr>
          <w:rFonts w:cs="GoudyOlSt BT" w:ascii="GoudyOlSt BT" w:hAnsi="GoudyOlSt BT"/>
        </w:rPr>
        <w:t xml:space="preserve">600 </w:t>
      </w:r>
      <w:r>
        <w:rPr>
          <w:rFonts w:cs="GoudyTrajanRegular" w:ascii="GoudyTrajanRegular" w:hAnsi="GoudyTrajanRegular"/>
        </w:rPr>
        <w:t>TRAVIS, SUITE</w:t>
      </w:r>
      <w:r>
        <w:rPr>
          <w:rFonts w:cs="GoudyOlSt BT" w:ascii="GoudyOlSt BT" w:hAnsi="GoudyOlSt BT"/>
        </w:rPr>
        <w:t xml:space="preserve"> 4200</w:t>
      </w:r>
    </w:p>
    <w:p>
      <w:pPr>
        <w:pStyle w:val="MemoAddress"/>
        <w:rPr>
          <w:rFonts w:ascii="GoudyTrajanRegular" w:hAnsi="GoudyTrajanRegular" w:cs="GoudyTrajanRegular"/>
          <w:sz w:val="13"/>
        </w:rPr>
      </w:pPr>
      <w:r>
        <w:rPr>
          <w:rFonts w:cs="GoudyTrajanRegular" w:ascii="GoudyTrajanRegular" w:hAnsi="GoudyTrajanRegular"/>
          <w:sz w:val="13"/>
        </w:rPr>
        <w:t>HOUSTON, TEXAS 77002</w:t>
      </w:r>
    </w:p>
    <w:p>
      <w:pPr>
        <w:pStyle w:val="Normal"/>
        <w:jc w:val="center"/>
        <w:rPr>
          <w:rFonts w:ascii="GoudyTrajanBold" w:hAnsi="GoudyTrajanBold" w:cs="GoudyTrajanBold"/>
          <w:sz w:val="30"/>
        </w:rPr>
      </w:pPr>
      <w:r>
        <w:rPr>
          <w:rFonts w:cs="GoudyTrajanBold" w:ascii="GoudyTrajanBold" w:hAnsi="GoudyTrajanBold"/>
          <w:sz w:val="30"/>
        </w:rPr>
      </w:r>
    </w:p>
    <w:p>
      <w:pPr>
        <w:pStyle w:val="MemoTitle"/>
        <w:rPr/>
      </w:pPr>
      <w:r>
        <w:rPr/>
        <w:t>memorandum</w:t>
      </w:r>
    </w:p>
    <w:tbl>
      <w:tblPr>
        <w:tblW w:w="9576" w:type="dxa"/>
        <w:jc w:val="start"/>
        <w:tblInd w:w="0" w:type="dxa"/>
        <w:tblLayout w:type="fixed"/>
        <w:tblCellMar>
          <w:top w:w="0" w:type="dxa"/>
          <w:start w:w="0" w:type="dxa"/>
          <w:bottom w:w="0" w:type="dxa"/>
          <w:end w:w="0" w:type="dxa"/>
        </w:tblCellMar>
      </w:tblPr>
      <w:tblGrid>
        <w:gridCol w:w="1350"/>
        <w:gridCol w:w="8226"/>
      </w:tblGrid>
      <w:tr>
        <w:trPr/>
        <w:tc>
          <w:tcPr>
            <w:tcW w:w="1350" w:type="dxa"/>
            <w:tcBorders>
              <w:top w:val="double" w:sz="4" w:space="0" w:color="000000"/>
            </w:tcBorders>
          </w:tcPr>
          <w:p>
            <w:pPr>
              <w:pStyle w:val="Normal"/>
              <w:rPr/>
            </w:pPr>
            <w:r>
              <w:rPr>
                <w:rFonts w:cs="EngraversGothic BT" w:ascii="EngraversGothic BT" w:hAnsi="EngraversGothic BT"/>
                <w:sz w:val="24"/>
              </w:rPr>
              <w:t>TO:</w:t>
            </w:r>
            <w:r>
              <w:rPr>
                <w:sz w:val="24"/>
              </w:rPr>
              <w:t xml:space="preserve"> </w:t>
            </w:r>
          </w:p>
        </w:tc>
        <w:tc>
          <w:tcPr>
            <w:tcW w:w="8226" w:type="dxa"/>
            <w:tcBorders>
              <w:top w:val="double" w:sz="4" w:space="0" w:color="000000"/>
            </w:tcBorders>
          </w:tcPr>
          <w:p>
            <w:pPr>
              <w:pStyle w:val="Normal"/>
              <w:rPr>
                <w:sz w:val="24"/>
              </w:rPr>
            </w:pPr>
            <w:r>
              <w:rPr>
                <w:sz w:val="24"/>
              </w:rPr>
              <w:t>Kay Mann</w:t>
            </w:r>
          </w:p>
        </w:tc>
      </w:tr>
      <w:tr>
        <w:trPr/>
        <w:tc>
          <w:tcPr>
            <w:tcW w:w="1350" w:type="dxa"/>
            <w:tcBorders/>
          </w:tcPr>
          <w:p>
            <w:pPr>
              <w:pStyle w:val="Normal"/>
              <w:rPr/>
            </w:pPr>
            <w:r>
              <w:rPr>
                <w:rFonts w:cs="EngraversGothic BT" w:ascii="EngraversGothic BT" w:hAnsi="EngraversGothic BT"/>
                <w:sz w:val="24"/>
              </w:rPr>
              <w:t>FROM:</w:t>
            </w:r>
            <w:r>
              <w:rPr>
                <w:sz w:val="24"/>
              </w:rPr>
              <w:t xml:space="preserve"> </w:t>
            </w:r>
          </w:p>
        </w:tc>
        <w:tc>
          <w:tcPr>
            <w:tcW w:w="8226" w:type="dxa"/>
            <w:tcBorders/>
          </w:tcPr>
          <w:p>
            <w:pPr>
              <w:pStyle w:val="Normal"/>
              <w:rPr>
                <w:sz w:val="24"/>
              </w:rPr>
            </w:pPr>
            <w:r>
              <w:rPr>
                <w:sz w:val="24"/>
              </w:rPr>
              <w:t>Paul J. Pipitone</w:t>
            </w:r>
          </w:p>
        </w:tc>
      </w:tr>
      <w:tr>
        <w:trPr/>
        <w:tc>
          <w:tcPr>
            <w:tcW w:w="1350" w:type="dxa"/>
            <w:tcBorders/>
          </w:tcPr>
          <w:p>
            <w:pPr>
              <w:pStyle w:val="Normal"/>
              <w:rPr/>
            </w:pPr>
            <w:r>
              <w:rPr>
                <w:rFonts w:cs="EngraversGothic BT" w:ascii="EngraversGothic BT" w:hAnsi="EngraversGothic BT"/>
                <w:sz w:val="24"/>
              </w:rPr>
              <w:t>DATE:</w:t>
            </w:r>
            <w:r>
              <w:rPr>
                <w:sz w:val="24"/>
              </w:rPr>
              <w:t xml:space="preserve"> </w:t>
            </w:r>
          </w:p>
        </w:tc>
        <w:tc>
          <w:tcPr>
            <w:tcW w:w="8226" w:type="dxa"/>
            <w:tcBorders/>
          </w:tcPr>
          <w:p>
            <w:pPr>
              <w:pStyle w:val="Normal"/>
              <w:rPr>
                <w:sz w:val="24"/>
              </w:rPr>
            </w:pPr>
            <w:r>
              <w:rPr>
                <w:sz w:val="24"/>
              </w:rPr>
              <w:t>June 28, 2000</w:t>
            </w:r>
          </w:p>
        </w:tc>
      </w:tr>
      <w:tr>
        <w:trPr/>
        <w:tc>
          <w:tcPr>
            <w:tcW w:w="1350" w:type="dxa"/>
            <w:tcBorders>
              <w:bottom w:val="double" w:sz="4" w:space="0" w:color="000000"/>
            </w:tcBorders>
          </w:tcPr>
          <w:p>
            <w:pPr>
              <w:pStyle w:val="Normal"/>
              <w:rPr>
                <w:rFonts w:ascii="EngraversGothic BT" w:hAnsi="EngraversGothic BT" w:cs="EngraversGothic BT"/>
                <w:sz w:val="24"/>
              </w:rPr>
            </w:pPr>
            <w:r>
              <w:rPr>
                <w:rFonts w:cs="EngraversGothic BT" w:ascii="EngraversGothic BT" w:hAnsi="EngraversGothic BT"/>
                <w:sz w:val="24"/>
              </w:rPr>
              <w:t xml:space="preserve">SUBJECT: </w:t>
            </w:r>
          </w:p>
        </w:tc>
        <w:tc>
          <w:tcPr>
            <w:tcW w:w="8226" w:type="dxa"/>
            <w:tcBorders>
              <w:bottom w:val="double" w:sz="4" w:space="0" w:color="000000"/>
            </w:tcBorders>
          </w:tcPr>
          <w:p>
            <w:pPr>
              <w:pStyle w:val="Normal"/>
              <w:rPr>
                <w:rFonts w:ascii="EngraversGothic BT" w:hAnsi="EngraversGothic BT" w:cs="EngraversGothic BT"/>
                <w:sz w:val="24"/>
              </w:rPr>
            </w:pPr>
            <w:r>
              <w:rPr>
                <w:sz w:val="24"/>
              </w:rPr>
              <w:t>GE Turbine Form Facility Agreement</w:t>
            </w:r>
          </w:p>
        </w:tc>
      </w:tr>
    </w:tbl>
    <w:p>
      <w:pPr>
        <w:pStyle w:val="spacer"/>
        <w:rPr/>
      </w:pPr>
      <w:r>
        <w:rPr/>
      </w:r>
    </w:p>
    <w:p>
      <w:pPr>
        <w:pStyle w:val="BodyTextFirstIndent"/>
        <w:rPr/>
      </w:pPr>
      <w:bookmarkStart w:id="0" w:name="StartHere"/>
      <w:bookmarkStart w:id="1" w:name="SUBJECT"/>
      <w:bookmarkEnd w:id="0"/>
      <w:bookmarkEnd w:id="1"/>
      <w:r>
        <w:rPr/>
        <w:t xml:space="preserve">Attached please find a clean and blacklined draft of the proposed Facility Agreement.  The blackline is marked to identify the changes from the document previously executed by WestLB, Enron and GE.  </w:t>
      </w:r>
    </w:p>
    <w:p>
      <w:pPr>
        <w:pStyle w:val="BodyTextFirstIndent"/>
        <w:rPr/>
      </w:pPr>
      <w:r>
        <w:rPr/>
        <w:t>As we discussed, because of the number of possible variations that would be required in the form to anticipate various financing alternatives, the Facility Agreement has been prepared assuming an outright purchase of the Units by the assignee. To the extent that any individual project is financed, revisions to the form will be required to tailor it to the particular circumstances.</w:t>
      </w:r>
    </w:p>
    <w:p>
      <w:pPr>
        <w:pStyle w:val="BodyTextFirstIndent"/>
        <w:rPr/>
      </w:pPr>
      <w:r>
        <w:rPr/>
        <w:t>Please note that I have identified various issues and noted certain matters in the body of the form agreement.  In some cases these are simply questions I had; in others, we require additional input to complete the form of agreement.</w:t>
      </w:r>
    </w:p>
    <w:p>
      <w:pPr>
        <w:pStyle w:val="BodyTextFirstIndent"/>
        <w:rPr/>
      </w:pPr>
      <w:r>
        <w:rPr/>
        <w:t>I have not yet prepared the form of Assignment from WestLB to the assignee referenced in Article XXII of the WestLB Agreement.  The basic terms of the assignment are simple, a quitclaim and release of the right to purchase the specific Units.  If that is all the assignment is intended to accomplish, I can prepare that quickly.  However, I believe that the Assignment would be an appropriate place to address certain other issues that arise in the context of “downstreaming” the Units to the assignee.  In this regard, additional input in the following areas is required:</w:t>
      </w:r>
    </w:p>
    <w:p>
      <w:pPr>
        <w:pStyle w:val="BodyTextFirstIndent"/>
        <w:numPr>
          <w:ilvl w:val="0"/>
          <w:numId w:val="1"/>
        </w:numPr>
        <w:rPr/>
      </w:pPr>
      <w:r>
        <w:rPr>
          <w:u w:val="single"/>
        </w:rPr>
        <w:t>Purchase Price Reimbursement</w:t>
      </w:r>
      <w:r>
        <w:rPr/>
        <w:t>. A portion of the Purchase Amount has been paid under the WestLB structure for the Units subject to each individual Facility Agreement.  The Assignment would be the logical place to include any payment/reimbursement provisions.  If WestLB/Enron will finance this reimbursement obligation, additional forms will be required (e.g. note, credit agreement, security agreement, and UCCs).</w:t>
      </w:r>
    </w:p>
    <w:p>
      <w:pPr>
        <w:pStyle w:val="BodyTextFirstIndent"/>
        <w:numPr>
          <w:ilvl w:val="0"/>
          <w:numId w:val="1"/>
        </w:numPr>
        <w:rPr/>
      </w:pPr>
      <w:r>
        <w:rPr/>
        <w:t xml:space="preserve"> </w:t>
      </w:r>
      <w:r>
        <w:rPr>
          <w:u w:val="single"/>
        </w:rPr>
        <w:t>Takeover Rights</w:t>
      </w:r>
      <w:r>
        <w:rPr/>
        <w:t xml:space="preserve">.  If an assignee decides to terminate the Facility Agreement, does Enron want the right to assume the contract.  Also, are there circumstances under which Enron might want the right to (a) cure an assignee’s default before GE can terminate a Facility Agreement, (b) assume the contract and (c) ultimately accept delivery of or sell the affected Units. If yes, these provisions could be included in the Assignment, and the Facility Agreement will require revision to acknowledge and facilitate Enron’s rights. </w:t>
      </w:r>
    </w:p>
    <w:p>
      <w:pPr>
        <w:pStyle w:val="BodyTextFirstIndent"/>
        <w:numPr>
          <w:ilvl w:val="0"/>
          <w:numId w:val="1"/>
        </w:numPr>
        <w:rPr/>
      </w:pPr>
      <w:r>
        <w:rPr>
          <w:u w:val="single"/>
        </w:rPr>
        <w:t>Purchase of Spares</w:t>
      </w:r>
      <w:r>
        <w:rPr/>
        <w:t>.  The Facility Agreement does not provide for the purchase of Spares.  How are Spares to be handled. Will the assignee have the right to purchase them from WestLB/Enron, or will they be purchased separately from GE.  If they are to be sold by WestLB/Enron, the Assignment should include the appropriate provisions (e.g. description of Spares, bill of sale provisions, payment/default provisions, assignment of GE warranties, UCC warranty disclaimers, etc.).</w:t>
      </w:r>
    </w:p>
    <w:p>
      <w:pPr>
        <w:pStyle w:val="BodyTextFirstIndent"/>
        <w:numPr>
          <w:ilvl w:val="0"/>
          <w:numId w:val="1"/>
        </w:numPr>
        <w:rPr/>
      </w:pPr>
      <w:r>
        <w:rPr>
          <w:u w:val="single"/>
        </w:rPr>
        <w:t>Documents</w:t>
      </w:r>
      <w:r>
        <w:rPr/>
        <w:t>.  The WestLB Agreement provides that certain documents were to be delivered by June 2000.  I have assumed that these have been delivered and accepted.  Should the Facility Agreement contain provisions for providing these documents to the assignee.</w:t>
      </w:r>
    </w:p>
    <w:p>
      <w:pPr>
        <w:pStyle w:val="BodyTextFirstIndent"/>
        <w:numPr>
          <w:ilvl w:val="0"/>
          <w:numId w:val="1"/>
        </w:numPr>
        <w:rPr/>
      </w:pPr>
      <w:r>
        <w:rPr>
          <w:u w:val="single"/>
        </w:rPr>
        <w:t>Unit Options Designated by Agent</w:t>
      </w:r>
      <w:r>
        <w:rPr/>
        <w:t>.  Is it possible that Enron will/has designated certain options  to be included in a Unit prior to the assignment of the Unit to an assignee, and that the assignee will want a different configuration.  Who bears the Change Order costs associated with this.</w:t>
      </w:r>
    </w:p>
    <w:p>
      <w:pPr>
        <w:pStyle w:val="BodyTextFirstIndent"/>
        <w:numPr>
          <w:ilvl w:val="0"/>
          <w:numId w:val="1"/>
        </w:numPr>
        <w:rPr/>
      </w:pPr>
      <w:r>
        <w:rPr>
          <w:u w:val="single"/>
        </w:rPr>
        <w:t>Assignment of Claims</w:t>
      </w:r>
      <w:r>
        <w:rPr/>
        <w:t>.  Should the Assignment provide for the assignment of any claims under the WestLB Agreement to the assignee with respect to the affected Units.</w:t>
      </w:r>
    </w:p>
    <w:p>
      <w:pPr>
        <w:pStyle w:val="BodyTextFirstIndent"/>
        <w:ind w:start="720" w:end="0"/>
        <w:rPr/>
      </w:pPr>
      <w:r>
        <w:rPr/>
        <w:t xml:space="preserve">After you have had a chance to review the enclosures, please give me a call at (713) 220-4101 and we can discuss your comments.  Further, in that some of the issues outlined above could affect the Facility Agreement, please let me hear from you when you and the business group have had a chance to consider them.  </w:t>
      </w:r>
    </w:p>
    <w:p>
      <w:pPr>
        <w:pStyle w:val="BodyTextFirstIndent"/>
        <w:ind w:start="720" w:end="0"/>
        <w:rPr/>
      </w:pPr>
      <w:r>
        <w:rPr/>
      </w:r>
    </w:p>
    <w:p>
      <w:pPr>
        <w:pStyle w:val="BodyTextFirstIndent"/>
        <w:ind w:start="720" w:end="0"/>
        <w:rPr/>
      </w:pPr>
      <w:r>
        <w:rPr/>
        <w:tab/>
        <w:tab/>
        <w:tab/>
        <w:tab/>
        <w:t>PJP</w:t>
      </w:r>
    </w:p>
    <w:p>
      <w:pPr>
        <w:pStyle w:val="BodyTextFirstIndent"/>
        <w:spacing w:before="0" w:after="240"/>
        <w:ind w:hanging="0" w:start="720" w:end="0"/>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EngraversGothic BT">
    <w:charset w:val="00" w:characterSet="windows-1252"/>
    <w:family w:val="swiss"/>
    <w:pitch w:val="variable"/>
  </w:font>
  <w:font w:name="Liberation Sans">
    <w:altName w:val="Arial"/>
    <w:charset w:val="01" w:characterSet="utf-8"/>
    <w:family w:val="swiss"/>
    <w:pitch w:val="variable"/>
  </w:font>
  <w:font w:name="GoudyTrajanBold">
    <w:charset w:val="00" w:characterSet="windows-1252"/>
    <w:family w:val="auto"/>
    <w:pitch w:val="variable"/>
  </w:font>
  <w:font w:name="GoudyTrajanRegular">
    <w:charset w:val="00" w:characterSet="windows-1252"/>
    <w:family w:val="auto"/>
    <w:pitch w:val="variable"/>
  </w:font>
  <w:font w:name="GoudyOlSt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556709.1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556709.1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MemoSecondPage"/>
      <w:rPr/>
    </w:pPr>
    <w:r>
      <w:rPr/>
      <w:t xml:space="preserve">Andrews </w:t>
    </w:r>
    <w:r>
      <w:rPr>
        <w:rFonts w:cs="GoudyOlSt BT" w:ascii="GoudyOlSt BT" w:hAnsi="GoudyOlSt BT"/>
      </w:rPr>
      <w:t>&amp;</w:t>
    </w:r>
    <w:r>
      <w:rPr/>
      <w:t xml:space="preserve"> Kurth</w:t>
    </w:r>
  </w:p>
  <w:p>
    <w:pPr>
      <w:pStyle w:val="MemoSecondPage"/>
      <w:rPr/>
    </w:pPr>
    <w:r>
      <w:rPr/>
      <w:t>l.l.p.</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DefaultParagraphFont">
    <w:name w:val="Default Paragraph Font"/>
    <w:qFormat/>
    <w:rPr/>
  </w:style>
  <w:style w:type="character" w:styleId="ToFont">
    <w:name w:val="ToFont"/>
    <w:basedOn w:val="DefaultParagraphFont"/>
    <w:qFormat/>
    <w:rPr>
      <w:rFonts w:ascii="EngraversGothic BT" w:hAnsi="EngraversGothic BT" w:cs="EngraversGothic BT"/>
      <w:sz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tterhead">
    <w:name w:val="Letterhead"/>
    <w:basedOn w:val="Normal"/>
    <w:qFormat/>
    <w:pPr>
      <w:jc w:val="center"/>
    </w:pPr>
    <w:rPr>
      <w:rFonts w:ascii="GoudyTrajanBold" w:hAnsi="GoudyTrajanBold" w:cs="GoudyTrajanBold"/>
      <w:sz w:val="3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Arial" w:hAnsi="Arial" w:eastAsia="Times New Roman" w:cs="Arial"/>
      <w:color w:val="auto"/>
      <w:sz w:val="20"/>
      <w:szCs w:val="20"/>
      <w:lang w:val="en-US" w:bidi="ar-SA" w:eastAsia="zh-CN"/>
    </w:rPr>
  </w:style>
  <w:style w:type="paragraph" w:styleId="MemoAddress">
    <w:name w:val="MemoAddress"/>
    <w:basedOn w:val="Normal"/>
    <w:qFormat/>
    <w:pPr>
      <w:jc w:val="center"/>
    </w:pPr>
    <w:rPr>
      <w:rFonts w:ascii="GoudyTrajanBold" w:hAnsi="GoudyTrajanBold" w:cs="GoudyTrajanBold"/>
      <w:sz w:val="14"/>
    </w:rPr>
  </w:style>
  <w:style w:type="paragraph" w:styleId="MemoTitle">
    <w:name w:val="MemoTitle"/>
    <w:basedOn w:val="Normal"/>
    <w:qFormat/>
    <w:pPr>
      <w:spacing w:before="0" w:after="240"/>
      <w:jc w:val="center"/>
    </w:pPr>
    <w:rPr>
      <w:rFonts w:ascii="EngraversGothic BT" w:hAnsi="EngraversGothic BT" w:cs="EngraversGothic BT"/>
      <w:sz w:val="30"/>
    </w:rPr>
  </w:style>
  <w:style w:type="paragraph" w:styleId="BodyTextFirstIndent">
    <w:name w:val="Body Text First Indent"/>
    <w:basedOn w:val="BodyText"/>
    <w:qFormat/>
    <w:pPr>
      <w:spacing w:before="0" w:after="240"/>
      <w:ind w:firstLine="720" w:start="0" w:end="0"/>
      <w:jc w:val="both"/>
    </w:pPr>
    <w:rPr/>
  </w:style>
  <w:style w:type="paragraph" w:styleId="spacer">
    <w:name w:val="spacer"/>
    <w:basedOn w:val="BodyTextFirstIndent"/>
    <w:qFormat/>
    <w:pPr>
      <w:spacing w:before="0" w:after="0"/>
      <w:ind w:hanging="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MemoSecondPage">
    <w:name w:val="MemoSecondPage"/>
    <w:basedOn w:val="Header"/>
    <w:qFormat/>
    <w:pPr>
      <w:jc w:val="center"/>
    </w:pPr>
    <w:rPr>
      <w:rFonts w:ascii="GoudyTrajanRegular" w:hAnsi="GoudyTrajanRegular" w:cs="GoudyTrajanRegular"/>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Andrews &amp; Kurth Memo.dot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2000-06-28T19:07:00Z</dcterms:created>
  <dc:creator>A&amp;K</dc:creator>
  <dc:description/>
  <dc:language>en-CA</dc:language>
  <cp:lastModifiedBy>A&amp;K</cp:lastModifiedBy>
  <cp:lastPrinted>2000-06-28T16:21:00Z</cp:lastPrinted>
  <dcterms:modified xsi:type="dcterms:W3CDTF">2000-06-28T19:07:00Z</dcterms:modified>
  <cp:revision>2</cp:revision>
  <dc:subject/>
  <dc:title>A&amp;K Memo Form</dc:title>
</cp:coreProperties>
</file>