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r>
        <mc:AlternateContent>
          <mc:Choice Requires="wps">
            <w:drawing>
              <wp:anchor behindDoc="1"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600" w:after="120"/>
        <w:jc w:val="center"/>
        <w:rPr/>
      </w:pPr>
      <w:r>
        <w:rPr/>
        <w:t>DRAFT</w:t>
        <w:br/>
        <w:t>MEMORANDUM</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0" w:name="Sender"/>
                            <w:bookmarkStart w:id="1" w:name="Letterhead"/>
                            <w:bookmarkEnd w:id="0"/>
                            <w:bookmarkEnd w:id="1"/>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2" w:name="DirectDial"/>
                            <w:bookmarkEnd w:id="2"/>
                            <w:r>
                              <w:rPr/>
                              <w:br/>
                              <w:t xml:space="preserve">Direct Fax: </w:t>
                            </w:r>
                            <w:r>
                              <w:rPr/>
                              <w:fldChar w:fldCharType="begin"/>
                            </w:r>
                            <w:r>
                              <w:rPr/>
                              <w:instrText xml:space="preserve"> DOCPROPERTY "DirectFax"</w:instrText>
                            </w:r>
                            <w:r>
                              <w:rPr/>
                              <w:fldChar w:fldCharType="separate"/>
                            </w:r>
                            <w:r>
                              <w:rPr/>
                              <w:t xml:space="preserve">(212) 504-6666 </w:t>
                            </w:r>
                            <w:r>
                              <w:rPr/>
                              <w:fldChar w:fldCharType="end"/>
                            </w:r>
                            <w:bookmarkStart w:id="3" w:name="DirectFax"/>
                            <w:bookmarkEnd w:id="3"/>
                            <w:r>
                              <w:rPr/>
                              <w:br/>
                              <w:t xml:space="preserve">E-Mail: </w:t>
                            </w:r>
                            <w:r>
                              <w:rPr/>
                              <w:fldChar w:fldCharType="begin"/>
                            </w:r>
                            <w:r>
                              <w:rPr/>
                              <w:instrText xml:space="preserve"> DOCPROPERTY "EMail"</w:instrText>
                            </w:r>
                            <w:r>
                              <w:rPr/>
                              <w:fldChar w:fldCharType="separate"/>
                            </w:r>
                            <w:r>
                              <w:rPr/>
                              <w:t>David.S.Mitchell@cwt.com</w:t>
                            </w:r>
                            <w:r>
                              <w:rPr/>
                              <w:fldChar w:fldCharType="end"/>
                            </w:r>
                            <w:bookmarkStart w:id="4" w:name="EMail"/>
                            <w:bookmarkEnd w:id="4"/>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5" w:name="Sender"/>
                      <w:bookmarkStart w:id="6" w:name="Letterhead"/>
                      <w:bookmarkEnd w:id="5"/>
                      <w:bookmarkEnd w:id="6"/>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7" w:name="DirectDial"/>
                      <w:bookmarkEnd w:id="7"/>
                      <w:r>
                        <w:rPr/>
                        <w:br/>
                        <w:t xml:space="preserve">Direct Fax: </w:t>
                      </w:r>
                      <w:r>
                        <w:rPr/>
                        <w:fldChar w:fldCharType="begin"/>
                      </w:r>
                      <w:r>
                        <w:rPr/>
                        <w:instrText xml:space="preserve"> DOCPROPERTY "DirectFax"</w:instrText>
                      </w:r>
                      <w:r>
                        <w:rPr/>
                        <w:fldChar w:fldCharType="separate"/>
                      </w:r>
                      <w:r>
                        <w:rPr/>
                        <w:t xml:space="preserve">(212) 504-6666 </w:t>
                      </w:r>
                      <w:r>
                        <w:rPr/>
                        <w:fldChar w:fldCharType="end"/>
                      </w:r>
                      <w:bookmarkStart w:id="8" w:name="DirectFax"/>
                      <w:bookmarkEnd w:id="8"/>
                      <w:r>
                        <w:rPr/>
                        <w:br/>
                        <w:t xml:space="preserve">E-Mail: </w:t>
                      </w:r>
                      <w:r>
                        <w:rPr/>
                        <w:fldChar w:fldCharType="begin"/>
                      </w:r>
                      <w:r>
                        <w:rPr/>
                        <w:instrText xml:space="preserve"> DOCPROPERTY "EMail"</w:instrText>
                      </w:r>
                      <w:r>
                        <w:rPr/>
                        <w:fldChar w:fldCharType="separate"/>
                      </w:r>
                      <w:r>
                        <w:rPr/>
                        <w:t>David.S.Mitchell@cwt.com</w:t>
                      </w:r>
                      <w:r>
                        <w:rPr/>
                        <w:fldChar w:fldCharType="end"/>
                      </w:r>
                      <w:bookmarkStart w:id="9" w:name="EMail"/>
                      <w:bookmarkEnd w:id="9"/>
                    </w:p>
                  </w:txbxContent>
                </v:textbox>
                <w10:wrap type="topAndBottom"/>
              </v:rect>
            </w:pict>
          </mc:Fallback>
        </mc:AlternateContent>
      </w:r>
    </w:p>
    <w:tbl>
      <w:tblPr>
        <w:tblW w:w="9576" w:type="dxa"/>
        <w:jc w:val="start"/>
        <w:tblInd w:w="0" w:type="dxa"/>
        <w:tblLayout w:type="fixed"/>
        <w:tblCellMar>
          <w:top w:w="0" w:type="dxa"/>
          <w:start w:w="108" w:type="dxa"/>
          <w:bottom w:w="0" w:type="dxa"/>
          <w:end w:w="108" w:type="dxa"/>
        </w:tblCellMar>
      </w:tblPr>
      <w:tblGrid>
        <w:gridCol w:w="1440"/>
        <w:gridCol w:w="8136"/>
      </w:tblGrid>
      <w:tr>
        <w:trPr/>
        <w:tc>
          <w:tcPr>
            <w:tcW w:w="1440" w:type="dxa"/>
            <w:tcBorders/>
          </w:tcPr>
          <w:p>
            <w:pPr>
              <w:pStyle w:val="Normal"/>
              <w:spacing w:before="240" w:after="0"/>
              <w:ind w:end="144"/>
              <w:jc w:val="end"/>
              <w:rPr>
                <w:b/>
              </w:rPr>
            </w:pPr>
            <w:r>
              <w:rPr>
                <w:b/>
              </w:rPr>
              <w:t>To:</w:t>
            </w:r>
          </w:p>
        </w:tc>
        <w:tc>
          <w:tcPr>
            <w:tcW w:w="8136" w:type="dxa"/>
            <w:tcBorders/>
          </w:tcPr>
          <w:p>
            <w:pPr>
              <w:pStyle w:val="Normal"/>
              <w:spacing w:before="240" w:after="0"/>
              <w:ind w:start="144" w:end="0"/>
              <w:rPr>
                <w:lang w:val="en-CA" w:eastAsia="en-CA"/>
              </w:rPr>
            </w:pPr>
            <w:bookmarkStart w:id="10" w:name="To"/>
            <w:bookmarkEnd w:id="10"/>
            <w:r>
              <w:rPr>
                <w:lang w:val="en-CA" w:eastAsia="en-CA"/>
              </w:rPr>
              <w:t>Mark Taylor</w:t>
              <w:br/>
              <w:t>(Enron Wholesale Services)</w:t>
            </w:r>
          </w:p>
        </w:tc>
      </w:tr>
      <w:tr>
        <w:trPr/>
        <w:tc>
          <w:tcPr>
            <w:tcW w:w="1440" w:type="dxa"/>
            <w:tcBorders/>
          </w:tcPr>
          <w:p>
            <w:pPr>
              <w:pStyle w:val="Normal"/>
              <w:spacing w:before="240" w:after="0"/>
              <w:ind w:end="144"/>
              <w:jc w:val="end"/>
              <w:rPr>
                <w:b/>
              </w:rPr>
            </w:pPr>
            <w:r>
              <w:rPr>
                <w:b/>
              </w:rPr>
              <w:t>From:</w:t>
            </w:r>
          </w:p>
        </w:tc>
        <w:tc>
          <w:tcPr>
            <w:tcW w:w="8136" w:type="dxa"/>
            <w:tcBorders/>
          </w:tcPr>
          <w:p>
            <w:pPr>
              <w:pStyle w:val="Normal"/>
              <w:spacing w:before="240" w:after="0"/>
              <w:ind w:start="144" w:end="0"/>
              <w:rPr>
                <w:lang w:val="en-CA" w:eastAsia="en-CA"/>
              </w:rPr>
            </w:pPr>
            <w:bookmarkStart w:id="11" w:name="From"/>
            <w:bookmarkEnd w:id="11"/>
            <w:r>
              <w:rPr>
                <w:lang w:val="en-CA" w:eastAsia="en-CA"/>
              </w:rPr>
              <w:t>David S. Mitchell</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tcBorders/>
          </w:tcPr>
          <w:p>
            <w:pPr>
              <w:pStyle w:val="Normal"/>
              <w:spacing w:before="240" w:after="0"/>
              <w:ind w:start="144" w:end="0"/>
              <w:rPr/>
            </w:pPr>
            <w:r>
              <w:rPr/>
              <w:t>September 28, 2001</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Movie Box Office Receipt Derivatives</w:t>
            </w:r>
          </w:p>
        </w:tc>
      </w:tr>
      <w:tr>
        <w:trPr/>
        <w:tc>
          <w:tcPr>
            <w:tcW w:w="1440" w:type="dxa"/>
            <w:tcBorders/>
          </w:tcPr>
          <w:p>
            <w:pPr>
              <w:pStyle w:val="Normal"/>
              <w:snapToGrid w:val="false"/>
              <w:ind w:end="144"/>
              <w:jc w:val="end"/>
              <w:rPr>
                <w:b/>
                <w:u w:val="single"/>
              </w:rPr>
            </w:pPr>
            <w:r>
              <w:rPr>
                <w:b/>
                <w:u w:val="single"/>
              </w:rPr>
            </w:r>
          </w:p>
        </w:tc>
        <w:tc>
          <w:tcPr>
            <w:tcW w:w="8136" w:type="dxa"/>
            <w:tcBorders/>
          </w:tcPr>
          <w:p>
            <w:pPr>
              <w:pStyle w:val="Normal"/>
              <w:snapToGrid w:val="false"/>
              <w:ind w:start="144" w:end="0"/>
              <w:rPr>
                <w:b/>
              </w:rPr>
            </w:pPr>
            <w:r>
              <w:rPr>
                <w:b/>
              </w:rPr>
            </w:r>
          </w:p>
        </w:tc>
      </w:tr>
    </w:tbl>
    <w:p>
      <w:pPr>
        <w:pStyle w:val="BodyMain"/>
        <w:spacing w:lineRule="exact" w:line="540"/>
        <w:rPr/>
      </w:pPr>
      <w:bookmarkStart w:id="14" w:name="Body"/>
      <w:bookmarkEnd w:id="14"/>
      <w:r>
        <w:rPr/>
        <w:t>You have indicated that Enron Wholesale Services is considering making a market in over-the-counter derivatives based upon movie box office receipts, including cash-settled swap, forward, and options transactions.  Such derivatives would permit a counterparty such as a chain of movie theaters to hedge its exposure to the level of receipts anticipated to be generated by a new movie during a specified period of time.  Or, a hedge fund could use such a derivative to take a view as to the anticipated level of box office receipts for a particular new movie release.  You have indicated further that these transactions will be individually negotiated, credit-sensitive transactions that are documented under IDSA forms of master agreement with counterparties that qualify as eligible contract participants, as defined.</w:t>
      </w:r>
    </w:p>
    <w:p>
      <w:pPr>
        <w:pStyle w:val="BodyMain"/>
        <w:spacing w:lineRule="exact" w:line="540"/>
        <w:rPr/>
      </w:pPr>
      <w:r>
        <w:rPr/>
        <w:t>You have asked us to consider various legal and regulatory issues to be addressed in connection with such a product, specifically arising under the Commodity Exchange Act, as amended (the “CEA”), the federal securities laws, state antigambling and antibucket shop laws, and state insurance laws.  In the interest of time and for ease of review, we have prepared the attached list in the form of bullet points and we have kept citations to provisions of statutes and rules and regulations to a minimum.</w:t>
      </w:r>
    </w:p>
    <w:p>
      <w:pPr>
        <w:pStyle w:val="BodyMain"/>
        <w:spacing w:lineRule="exact" w:line="540"/>
        <w:rPr/>
      </w:pPr>
      <w:r>
        <w:rPr/>
        <w:t>Of course, the status of these derivatives could be affected by the facts and circumstances relating to a particular transaction, including the manner in which the transaction is marketed to a counterparty.</w:t>
      </w:r>
    </w:p>
    <w:p>
      <w:pPr>
        <w:pStyle w:val="BodyMain"/>
        <w:spacing w:lineRule="exact" w:line="540"/>
        <w:rPr/>
      </w:pPr>
      <w:r>
        <w:rPr/>
        <w:t>We look forward to refining and developing our preliminary analysis of these issues as we learn more about these derivatives.</w:t>
      </w:r>
    </w:p>
    <w:p>
      <w:pPr>
        <w:pStyle w:val="HeadingLeft"/>
        <w:rPr/>
      </w:pPr>
      <w:bookmarkStart w:id="15" w:name="Initials"/>
      <w:bookmarkEnd w:id="15"/>
      <w:r>
        <w:rPr/>
        <w:t>Enclosure</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599642.1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CWTInterAction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2001-09-28T13:33:00Z</dcterms:created>
  <dc:creator>MRutella</dc:creator>
  <dc:description>Memo template for use with InterAction 4</dc:description>
  <dc:language>en-CA</dc:language>
  <cp:lastModifiedBy>MRutella</cp:lastModifiedBy>
  <cp:lastPrinted>2001-09-28T11:49:00Z</cp:lastPrinted>
  <dcterms:modified xsi:type="dcterms:W3CDTF">2001-09-28T13:33:00Z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Dial">
    <vt:lpwstr>(212) 504-6285</vt:lpwstr>
  </property>
  <property fmtid="{D5CDD505-2E9C-101B-9397-08002B2CF9AE}" pid="3" name="DirectFax">
    <vt:lpwstr>(212) 504-6666 </vt:lpwstr>
  </property>
  <property fmtid="{D5CDD505-2E9C-101B-9397-08002B2CF9AE}" pid="4" name="EMail">
    <vt:lpwstr>David.S.Mitchell@cwt.com</vt:lpwstr>
  </property>
  <property fmtid="{D5CDD505-2E9C-101B-9397-08002B2CF9AE}" pid="5" name="OriginalTemplate">
    <vt:lpwstr>CWTMemo</vt:lpwstr>
  </property>
  <property fmtid="{D5CDD505-2E9C-101B-9397-08002B2CF9AE}" pid="6" name="PCDOCS ID Info">
    <vt:lpwstr>CWT\{PCDOCS Library}\{filename}</vt:lpwstr>
  </property>
  <property fmtid="{D5CDD505-2E9C-101B-9397-08002B2CF9AE}" pid="7" name="PCDOCS ID Long">
    <vt:lpwstr>CWT\NYLIB1\599642.1</vt:lpwstr>
  </property>
  <property fmtid="{D5CDD505-2E9C-101B-9397-08002B2CF9AE}" pid="8" name="PCDOCS ID Short">
    <vt:lpwstr>599642.1</vt:lpwstr>
  </property>
  <property fmtid="{D5CDD505-2E9C-101B-9397-08002B2CF9AE}" pid="9" name="Sender">
    <vt:lpwstr>David S. Mitchell</vt:lpwstr>
  </property>
</Properties>
</file>