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MEMORANDUM OF UNDERSTANDING</w:t>
      </w:r>
    </w:p>
    <w:p>
      <w:pPr>
        <w:pStyle w:val="Normal"/>
        <w:jc w:val="center"/>
        <w:rPr>
          <w:rFonts w:ascii="Times New Roman" w:hAnsi="Times New Roman" w:cs="Times New Roman"/>
          <w:b/>
          <w:bCs/>
          <w:sz w:val="24"/>
        </w:rPr>
      </w:pPr>
      <w:r>
        <w:rPr>
          <w:rFonts w:cs="Times New Roman" w:ascii="Times New Roman" w:hAnsi="Times New Roman"/>
          <w:b/>
          <w:bCs/>
          <w:sz w:val="24"/>
        </w:rPr>
      </w:r>
    </w:p>
    <w:p>
      <w:pPr>
        <w:pStyle w:val="BodyTextIndent2"/>
        <w:ind w:hanging="0" w:end="0"/>
        <w:rPr/>
      </w:pPr>
      <w:r>
        <w:rPr>
          <w:rFonts w:cs="Times New Roman" w:ascii="Times New Roman" w:hAnsi="Times New Roman"/>
        </w:rPr>
        <w:t xml:space="preserve">This Memorandum of Understanding (“MOU”) is entered into as of February __, 2001 (the “Effective Date”) between </w:t>
      </w:r>
      <w:r>
        <w:rPr>
          <w:rFonts w:cs="Times New Roman" w:ascii="Times New Roman" w:hAnsi="Times New Roman"/>
          <w:b/>
          <w:bCs/>
        </w:rPr>
        <w:t>CONVERGENT ENERGY GROUP INC.</w:t>
      </w:r>
      <w:r>
        <w:rPr>
          <w:rFonts w:cs="Times New Roman" w:ascii="Times New Roman" w:hAnsi="Times New Roman"/>
        </w:rPr>
        <w:t>,</w:t>
      </w:r>
      <w:r>
        <w:rPr>
          <w:rFonts w:cs="Times New Roman" w:ascii="Times New Roman" w:hAnsi="Times New Roman"/>
          <w:b/>
          <w:bCs/>
        </w:rPr>
        <w:t xml:space="preserve"> </w:t>
      </w:r>
      <w:r>
        <w:rPr>
          <w:rFonts w:cs="Times New Roman" w:ascii="Times New Roman" w:hAnsi="Times New Roman"/>
        </w:rPr>
        <w:t xml:space="preserve">a Texas corporation (“Convergent”) and </w:t>
      </w:r>
      <w:r>
        <w:rPr>
          <w:rFonts w:cs="Times New Roman" w:ascii="Times New Roman" w:hAnsi="Times New Roman"/>
          <w:b/>
          <w:bCs/>
        </w:rPr>
        <w:t>ENRON NORTH AMERICA CORP.</w:t>
      </w:r>
      <w:r>
        <w:rPr>
          <w:rFonts w:cs="Times New Roman" w:ascii="Times New Roman" w:hAnsi="Times New Roman"/>
        </w:rPr>
        <w:t>, a Delaware corporation (“ENA”, with each of Convergent and ENA referred individually as a “Party” and collectively as the “Parties”), in order to evidence the Parties’ present intention to form an entity to pursue certain deepwater oil and gas reserve development projects through the structuring and formation of a series of project entities that will build or acquire and thereafter own interests in and operate floating production platforms and deepwater oil and gas pipelines located in the Gulf of Mexico at water depths in excess of 200 meters (the “Deepwater Infrastructure”), which Deepwater Infrastructure would be contracted out to deepwater oil and gas field operators on a volumetrically determined fee basis (the “Projects”).  The remainder of this MOU elaborates on how the Parties intend to pursue requisite due diligence, development of a business plan and the negotiation and possible execution of definitive agreements documenting pursuit of Deepwater Infrastructure Projects, with the non-binding provisions set forth in Article I and</w:t>
      </w:r>
      <w:bookmarkStart w:id="0" w:name="WWSetBkmk1"/>
      <w:r>
        <w:rPr>
          <w:rFonts w:cs="Times New Roman" w:ascii="Times New Roman" w:hAnsi="Times New Roman"/>
        </w:rPr>
        <w:fldChar w:fldCharType="begin"/>
      </w:r>
      <w:r>
        <w:rPr>
          <w:rFonts w:cs="Times New Roman" w:ascii="Times New Roman" w:hAnsi="Times New Roman"/>
        </w:rPr>
        <w:instrText xml:space="preserve"> SET Seller_x0013_fillin "________________________" </w:instrText>
      </w:r>
      <w:r>
        <w:rPr>
          <w:rFonts w:cs="Times New Roman" w:ascii="Times New Roman" w:hAnsi="Times New Roman"/>
        </w:rPr>
        <w:fldChar w:fldCharType="separate"/>
      </w:r>
      <w:bookmarkStart w:id="1" w:name="Seller%13fillin"/>
      <w:r>
        <w:rPr>
          <w:rFonts w:cs="Times New Roman" w:ascii="Times New Roman" w:hAnsi="Times New Roman"/>
        </w:rPr>
      </w:r>
      <w:bookmarkEnd w:id="1"/>
      <w:r>
        <w:rPr>
          <w:rFonts w:cs="Times New Roman" w:ascii="Times New Roman" w:hAnsi="Times New Roman"/>
        </w:rPr>
        <w:fldChar w:fldCharType="end"/>
      </w:r>
      <w:bookmarkEnd w:id="0"/>
      <w:r>
        <w:rPr>
          <w:rFonts w:cs="Times New Roman" w:ascii="Times New Roman" w:hAnsi="Times New Roman"/>
        </w:rPr>
        <w:t xml:space="preserve"> the binding provisions set forth in Article II below.</w:t>
      </w:r>
    </w:p>
    <w:p>
      <w:pPr>
        <w:pStyle w:val="BodyTextIndent2"/>
        <w:ind w:hanging="0" w:end="0"/>
        <w:rPr>
          <w:rFonts w:ascii="Times New Roman" w:hAnsi="Times New Roman" w:cs="Times New Roman"/>
        </w:rPr>
      </w:pPr>
      <w:r>
        <w:rPr>
          <w:rFonts w:cs="Times New Roman" w:ascii="Times New Roman" w:hAnsi="Times New Roman"/>
        </w:rPr>
      </w:r>
    </w:p>
    <w:p>
      <w:pPr>
        <w:pStyle w:val="Heading1"/>
        <w:ind w:hanging="0" w:start="0"/>
        <w:jc w:val="start"/>
        <w:rPr/>
      </w:pPr>
      <w:r>
        <w:rPr>
          <w:b w:val="false"/>
          <w:sz w:val="24"/>
          <w:u w:val="none"/>
        </w:rPr>
        <w:t>ARTICLE I.</w:t>
        <w:tab/>
      </w:r>
      <w:r>
        <w:rPr>
          <w:b w:val="false"/>
          <w:sz w:val="24"/>
        </w:rPr>
        <w:t>NON-BINDING AGREEMENTS</w:t>
      </w:r>
    </w:p>
    <w:p>
      <w:pPr>
        <w:pStyle w:val="Heading2"/>
        <w:spacing w:before="240" w:after="120"/>
        <w:ind w:hanging="0" w:start="0"/>
        <w:rPr/>
      </w:pPr>
      <w:r>
        <w:rPr/>
        <w:t>Section 1.1</w:t>
        <w:tab/>
      </w:r>
      <w:r>
        <w:rPr>
          <w:u w:val="single"/>
        </w:rPr>
        <w:t>Master Development Company</w:t>
      </w:r>
      <w:r>
        <w:rPr/>
        <w:t>.  The Parties anticipate the formation of a business entity (either a corporation, a limited liability company, or a limited liability partnership) having a term of thirty (30) years (the “Master Development Company”).  The agreement utilized to form the Master Development Company (the “Formation Agreement”) shall include terms and conditions satisfactory to the Parties regarding but not limited to: (i) capital structure, addressing the sharing of profit and losses and costs [currently anticipated to be 50% Convergent and 50% ENA]; (ii) purpose and scope of entity [currently, to form, obtain debt and equity funding for and otherwise structure and develop a series of project entities (“Project Companies”) whose purpose and scope would be to build or acquire and operate Deepwater Infrastructure Projects in the Gulf of Mexico, with the revenues earned by such Project Companies to be derived from contracting out its Deepwater Infrastructure Projects to deepwater oil and gas field operators on a volumetrically determined fee basis]; (iii) governance; (iv) name of entity; (v) description of major decisions; (vi) means of making operational decisions, including the development and revision of budgets; (vii) performance benchmarks; (viii) credit restrictions; (ix) accounting methods; (x) the type of infrastructure transactions included and excluded; (xi) limitation of consequential damages; (xii) indemnification; (xiii) termination, other exit rights and liquidation; (xiv) transfer restrictions and buy-sells; (xv) deadlock breaking mechanisms; (xvi) alternative dispute resolution; (xvii) enterprise valuation and methodology; (xviii) transactions with affiliates; (xix) confidentiality; (xx) representations, warranties, covenants, conditions precedent and subsequent; and (xxi) additional usual and customary provisions for joint enterprises of the type contemplated hereby, some of which terms and conditions are further elaborated in the remaining Sections of this Article I.  The Parties agree that the forgoing terms and conditions shall be determined utilizing the procedures outlined in Section 2.1 below.</w:t>
      </w:r>
    </w:p>
    <w:p>
      <w:pPr>
        <w:pStyle w:val="Heading2"/>
        <w:ind w:hanging="0" w:start="0"/>
        <w:rPr/>
      </w:pPr>
      <w:r>
        <w:rPr/>
        <w:t>Section 1.2</w:t>
        <w:tab/>
      </w:r>
      <w:r>
        <w:rPr>
          <w:u w:val="single"/>
        </w:rPr>
        <w:t>Management Committee and Voting</w:t>
      </w:r>
      <w:r>
        <w:rPr/>
        <w:t>.  The responsibility for the overall management of the Master Development Company is presently intended to be by a management committee appointed in equal numbers by Convergent and ENA (the “Management Committee”).  The Management Committee would be responsible for the day-to-day management of the routine activities for both the Master Development Company and each Project Company whose ultimate capitalization or operating structure designates the Master Development Company to fill the role of operator.  All decisions of the Management Committee shall be made by majority vote, with the practical effect that the Master Development Company shall not be authorized to undertake any activity or course of action unless Convergent and ENA are in agreement therewith.  Because of the potential for deadlock, the Formation Agreement will identify certain actions or activities that may be undertaken solely by one Party if the other Party fails or refuses to support such action or activity at the Management Committee level.</w:t>
      </w:r>
    </w:p>
    <w:p>
      <w:pPr>
        <w:pStyle w:val="Heading2"/>
        <w:ind w:hanging="0" w:start="0"/>
        <w:rPr/>
      </w:pPr>
      <w:r>
        <w:rPr/>
        <w:t>Section 1.3</w:t>
        <w:tab/>
      </w:r>
      <w:r>
        <w:rPr>
          <w:u w:val="single"/>
        </w:rPr>
        <w:t>Master Development Company Staffing</w:t>
      </w:r>
      <w:r>
        <w:rPr/>
        <w:t>.  Each Party will be required to make the services of certain key employees available to serve on the Management Committee, to lead the business development efforts as to Projects, and to conduct other day-to-day business matters of the Master Development Company.  The Formation Agreement will identify such employees by name and/or positions.  ENA shall make support services available to the Master Development Company for a fixed fee, redetermined annually on the basis of the costs of such services as allocated to the Upstream Asset division of ENA (the “Lump Sum Support Fee”).  Examples of the support services that ENA shall make available to the Master Development Company are:  financial analysis and structuring, Project Company debt placement service, risk analysis, information technology, engineering, geological and geophysical analysis, reservoir engineering, accounting, tax and legal services (the “ENA Support Services”).  The level of ENA Support Services shall be specifically established in the Formation Agreement for the first year of the Master Development Company.  While the Management Committee shall have the flexibility to retain third party support services in substitution of or in addition to the ENA Support Services, such election shall not relieve the Master Development Company from paying ENA the Lump Sum Support Fee; provided that, the Management Committee will have no obligation to subscribe for the ENA Support Services from and after the first year of the creation of the Master Development Company.</w:t>
      </w:r>
    </w:p>
    <w:p>
      <w:pPr>
        <w:pStyle w:val="Heading2"/>
        <w:ind w:hanging="0" w:start="0"/>
        <w:rPr/>
      </w:pPr>
      <w:r>
        <w:rPr/>
        <w:t>Section 1.4</w:t>
        <w:tab/>
      </w:r>
      <w:r>
        <w:rPr>
          <w:u w:val="single"/>
        </w:rPr>
        <w:t>Non-Compete</w:t>
      </w:r>
      <w:r>
        <w:rPr/>
        <w:t>.  The Parties intend that the description of the purpose and scope of the Master Development Company together with the duties that may arise under laws of the State of Delaware shall dictate any limits on the activities that a Party may pursue outside of the Master Development Company.  ENA will, however, require an acknowledgement from Convergent and its principals that neither the existence of the Master Development Company, nor the Formation Agreement, nor the pursuit of the transactions contemplated thereby, shall be binding upon or create a duty as to Enron Corp. or any of its affiliates other than ENA and ENA’s subsidiaries.  Further, as outlined in the last sentence of Section 1.2 above, the Formation Document will specifically permit a Party to independently pursue an activity that the other Party has blocked the Master Development Company from undertaking.</w:t>
      </w:r>
    </w:p>
    <w:p>
      <w:pPr>
        <w:pStyle w:val="Heading2"/>
        <w:ind w:hanging="0" w:start="0"/>
        <w:rPr/>
      </w:pPr>
      <w:r>
        <w:rPr/>
        <w:t>Section 1.5</w:t>
        <w:tab/>
      </w:r>
      <w:r>
        <w:rPr>
          <w:u w:val="single"/>
        </w:rPr>
        <w:t>Project Equity</w:t>
      </w:r>
      <w:r>
        <w:rPr/>
        <w:t>.  Under the Formation Agreement, each Party or its controlled or controlling affiliate(s) will have a preferred investor right to acquire up to fifty percent (50%) of the equity in any Project Company being promoted by the Mater Development Company; provided that in consideration of such preferred investor right, the person making such acquisition shall be obligated to fund an acquisition in the relevant Project Company on behalf of the Master Development Company in the amount set forth on Exhibit “A” hereto (an “Equity Premium”).  In Addition, the Formation Agreement will provide that if one Party desires to acquire more that fifty percent (50%) of a Project Company (i.e., a Party desires to acquire all or part of the equity that the other Party has chosen not to acquire), then in addition to the Equity Premium, such Party will be obligated to fund an additional acquisition on behalf of the Master Development Company in the amount set forth on Exhibit “A” hereto (a “Control Premium”).</w:t>
      </w:r>
    </w:p>
    <w:p>
      <w:pPr>
        <w:pStyle w:val="Heading2"/>
        <w:ind w:hanging="0" w:start="0"/>
        <w:rPr/>
      </w:pPr>
      <w:r>
        <w:rPr/>
        <w:t>Section 1.6</w:t>
        <w:tab/>
      </w:r>
      <w:r>
        <w:rPr>
          <w:u w:val="single"/>
        </w:rPr>
        <w:t>Project Debt Placement Services</w:t>
      </w:r>
      <w:r>
        <w:rPr/>
        <w:t>.  The Parties acknowledge that among the ENA Support Services described in Section 1.3 above, financial structuring and debt placement service are two critical services required by the Master Development Company in the promotion of Deepwater Infrastructure Development Projects.  ENA shall be the sole initial provider of financial structuring and debt placement services.  Notwithstanding the forgoing, the Management Committee shall have the right to (i) direct ENA to consider funding sources or structures of which the Management Committee is aware that will afford a Project a lower cost of debt and (ii) independently investigate and secure alternate funding sources in those cases where ENA has failed to obtain the lowest priced debt for a given Project.</w:t>
      </w:r>
    </w:p>
    <w:p>
      <w:pPr>
        <w:pStyle w:val="Heading1"/>
        <w:keepNext w:val="false"/>
        <w:spacing w:before="0" w:after="120"/>
        <w:ind w:hanging="0" w:start="0"/>
        <w:rPr/>
      </w:pPr>
      <w:r>
        <w:rPr>
          <w:b w:val="false"/>
          <w:sz w:val="24"/>
          <w:u w:val="none"/>
        </w:rPr>
        <w:t>Section 1.7</w:t>
        <w:tab/>
      </w:r>
      <w:r>
        <w:rPr>
          <w:b w:val="false"/>
          <w:sz w:val="24"/>
        </w:rPr>
        <w:t>Capital Contributions</w:t>
      </w:r>
      <w:r>
        <w:rPr>
          <w:b w:val="false"/>
          <w:sz w:val="24"/>
          <w:u w:val="none"/>
        </w:rPr>
        <w:t>.  The initial operations of the Master Development Company shall be funded as required by the contributions of the Parties in proportion to their interests therein.  It is expected than ongoing operations of the Master Development Company will be funded from Project Company proceeds; e.g., origination fees, management fees, consulting fees, proceeds from Equity Premiums and Control Premiums and upside sharing arrangements in Projects.  The Formation Agreement will provide a mechanism for making cash calls and the requirements for their funding by the Parties in accordance with their respective membership interests.</w:t>
      </w:r>
    </w:p>
    <w:p>
      <w:pPr>
        <w:pStyle w:val="Header"/>
        <w:tabs>
          <w:tab w:val="clear" w:pos="4320"/>
          <w:tab w:val="clear" w:pos="8640"/>
        </w:tabs>
        <w:spacing w:before="0" w:after="120"/>
        <w:rPr>
          <w:rFonts w:ascii="Times New Roman" w:hAnsi="Times New Roman" w:cs="Times New Roman"/>
          <w:b/>
          <w:sz w:val="24"/>
          <w:u w:val="none"/>
        </w:rPr>
      </w:pPr>
      <w:r>
        <w:rPr>
          <w:rFonts w:cs="Times New Roman" w:ascii="Times New Roman" w:hAnsi="Times New Roman"/>
          <w:b/>
          <w:sz w:val="24"/>
          <w:u w:val="none"/>
        </w:rPr>
      </w:r>
    </w:p>
    <w:p>
      <w:pPr>
        <w:pStyle w:val="Heading1"/>
        <w:keepNext w:val="false"/>
        <w:ind w:hanging="0" w:start="0"/>
        <w:rPr/>
      </w:pPr>
      <w:r>
        <w:rPr>
          <w:b w:val="false"/>
          <w:sz w:val="24"/>
          <w:u w:val="none"/>
        </w:rPr>
        <w:t>ARTICLE II.</w:t>
        <w:tab/>
      </w:r>
      <w:r>
        <w:rPr>
          <w:b w:val="false"/>
          <w:sz w:val="24"/>
        </w:rPr>
        <w:t>BINDING AGREEMENTS</w:t>
      </w:r>
    </w:p>
    <w:p>
      <w:pPr>
        <w:pStyle w:val="Normal"/>
        <w:rPr>
          <w:rFonts w:ascii="Times New Roman" w:hAnsi="Times New Roman" w:cs="Times New Roman"/>
          <w:b/>
          <w:sz w:val="24"/>
        </w:rPr>
      </w:pPr>
      <w:r>
        <w:rPr>
          <w:rFonts w:cs="Times New Roman" w:ascii="Times New Roman" w:hAnsi="Times New Roman"/>
          <w:b/>
          <w:sz w:val="24"/>
        </w:rPr>
      </w:r>
    </w:p>
    <w:p>
      <w:pPr>
        <w:pStyle w:val="Heading2"/>
        <w:ind w:hanging="0" w:start="0"/>
        <w:rPr/>
      </w:pPr>
      <w:r>
        <w:rPr/>
        <w:t>Section 2.1</w:t>
        <w:tab/>
      </w:r>
      <w:r>
        <w:rPr>
          <w:u w:val="single"/>
        </w:rPr>
        <w:t>Due Diligence and Business Plan Development</w:t>
      </w:r>
      <w:r>
        <w:rPr/>
        <w:t xml:space="preserve">.  Immediately upon the execution of this MOU, Convergent shall provide ENA full and complete access to the various books, records, documents, contracts, arrangement, orders, licenses, consents and other information that comprise ongoing Deepwater Infrastructure Development Projects that are contemplated to become part of or subject to the Master Development Company.  As soon as possible following ENA’s review of such materials, the Parties shall endeavor to develop and agree to a business plan, which would, among other things, establish definitively the significant commercial terms of the Formation Agreement as outlined Section 1.1 and elaborated in Sections 1.2 through 1.7 above (the “Commercial Terms”).  The Parties shall endeavor to develop the Commercial Terms by no later than </w:t>
      </w:r>
      <w:r>
        <w:rPr>
          <w:b/>
          <w:bCs/>
        </w:rPr>
        <w:t xml:space="preserve">[March </w:t>
      </w:r>
      <w:bookmarkStart w:id="2" w:name="WWSetBkmk2"/>
      <w:r>
        <w:rPr>
          <w:b/>
          <w:bCs/>
        </w:rPr>
        <w:fldChar w:fldCharType="begin"/>
      </w:r>
      <w:r>
        <w:rPr>
          <w:b/>
          <w:bCs/>
        </w:rPr>
        <w:instrText xml:space="preserve"> SET TermDate_x0013_fillin "______________" </w:instrText>
      </w:r>
      <w:r>
        <w:rPr>
          <w:b/>
          <w:bCs/>
        </w:rPr>
        <w:fldChar w:fldCharType="separate"/>
      </w:r>
      <w:bookmarkStart w:id="3" w:name="TermDate%13fillin"/>
      <w:r>
        <w:rPr>
          <w:b/>
          <w:bCs/>
        </w:rPr>
      </w:r>
      <w:bookmarkEnd w:id="3"/>
      <w:r>
        <w:rPr>
          <w:b/>
          <w:bCs/>
        </w:rPr>
        <w:fldChar w:fldCharType="end"/>
      </w:r>
      <w:bookmarkEnd w:id="2"/>
      <w:r>
        <w:rPr>
          <w:b/>
          <w:bCs/>
        </w:rPr>
        <w:t>__, 2001]</w:t>
      </w:r>
      <w:r>
        <w:rPr/>
        <w:t xml:space="preserve"> (the “Business Plan Deadline”).  If the Parties are unable to agree upon the Commercial Terms and otherwise devise the business plan by the Business Plan Deadline, this MOU shall be deemed terminated on the Business Plan Deadline, and neither Party shall have any further obligation to the other from and after the Business Plan Deadline, except as otherwise provided in this Article II.</w:t>
      </w:r>
    </w:p>
    <w:p>
      <w:pPr>
        <w:pStyle w:val="Heading2"/>
        <w:ind w:hanging="0" w:start="0"/>
        <w:rPr/>
      </w:pPr>
      <w:r>
        <w:rPr/>
        <w:t>Section 2.2</w:t>
        <w:tab/>
      </w:r>
      <w:r>
        <w:rPr>
          <w:u w:val="single"/>
        </w:rPr>
        <w:t>Definitive Agreements</w:t>
      </w:r>
      <w:r>
        <w:rPr/>
        <w:t xml:space="preserve">.  If the Parties have agreed the Commercial Terms and adopted a business plan by the Business Plan Deadline, the Parties shall endeavor to execute Definitive Agreements no later than </w:t>
      </w:r>
      <w:bookmarkStart w:id="4" w:name="TermDate"/>
      <w:r>
        <w:rPr>
          <w:b/>
          <w:bCs/>
        </w:rPr>
        <w:fldChar w:fldCharType="begin"/>
      </w:r>
      <w:r>
        <w:rPr>
          <w:b/>
          <w:bCs/>
        </w:rPr>
        <w:instrText xml:space="preserve"> SET TermDate_x0013_fillin "______________" </w:instrText>
      </w:r>
      <w:r>
        <w:rPr>
          <w:b/>
          <w:bCs/>
        </w:rPr>
        <w:fldChar w:fldCharType="separate"/>
      </w:r>
      <w:bookmarkStart w:id="5" w:name="TermDate%13fillin"/>
      <w:r>
        <w:rPr>
          <w:b/>
          <w:bCs/>
        </w:rPr>
      </w:r>
      <w:bookmarkEnd w:id="5"/>
      <w:r>
        <w:rPr>
          <w:b/>
          <w:bCs/>
        </w:rPr>
        <w:fldChar w:fldCharType="end"/>
      </w:r>
      <w:bookmarkEnd w:id="4"/>
      <w:r>
        <w:rPr>
          <w:b/>
          <w:bCs/>
        </w:rPr>
        <w:t>[May __, 2001]</w:t>
      </w:r>
      <w:r>
        <w:rPr/>
        <w:t xml:space="preserve"> (the “Closing Deadline”).  If the Parties fail to execute the Definitive Agreements by the Closing Deadline, this MOU shall be deemed terminated, and neither Party shall have any further obligation to the other, except as otherwise provided in this Article II.</w:t>
      </w:r>
    </w:p>
    <w:p>
      <w:pPr>
        <w:pStyle w:val="Heading2"/>
        <w:ind w:hanging="0" w:start="0"/>
        <w:rPr/>
      </w:pPr>
      <w:r>
        <w:rPr/>
        <w:t>Section 2.3.</w:t>
        <w:tab/>
      </w:r>
      <w:r>
        <w:rPr>
          <w:u w:val="single"/>
        </w:rPr>
        <w:t>Exclusivity</w:t>
      </w:r>
      <w:r>
        <w:rPr/>
        <w:t>.</w:t>
      </w:r>
      <w:r>
        <w:rPr>
          <w:b/>
        </w:rPr>
        <w:t xml:space="preserve"> </w:t>
      </w:r>
      <w:r>
        <w:rPr/>
        <w:t xml:space="preserve">  In consideration of the provisions of this MOU and the time, effort, and expense to be incurred by the Parties and their respective affiliates in investigating the Transactions, each Party agrees that for a period beginning on the date of this MOU and ending on the earlier to occur of (i) the execution of the Formation Agreement or (ii) the Closing Deadline, such Party will not solicit discussions or engage in negotiations with any other person or entity as to matters that are within the intended purpose and scope of the Master Development Company (as outlined in Section 1.1(iii) above), without the prior written consent of the other Party.  After such time, each Party shall be free independently to pursue such transactions, subject to existing confidentiality obligations and any other rights or obligations expressly stated as surviving this MOU. </w:t>
      </w:r>
    </w:p>
    <w:p>
      <w:pPr>
        <w:pStyle w:val="Normal"/>
        <w:tabs>
          <w:tab w:val="clear" w:pos="720"/>
          <w:tab w:val="left" w:pos="450" w:leader="none"/>
          <w:tab w:val="left" w:pos="540" w:leader="none"/>
          <w:tab w:val="left" w:pos="1440" w:leader="none"/>
          <w:tab w:val="left" w:pos="1800" w:leader="none"/>
          <w:tab w:val="left" w:pos="2520" w:leader="none"/>
          <w:tab w:val="left" w:pos="3240" w:leader="none"/>
          <w:tab w:val="left" w:pos="360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before="0" w:after="120"/>
        <w:jc w:val="both"/>
        <w:rPr/>
      </w:pPr>
      <w:r>
        <w:rPr>
          <w:rFonts w:cs="Times New Roman" w:ascii="Times New Roman" w:hAnsi="Times New Roman"/>
          <w:sz w:val="24"/>
        </w:rPr>
        <w:t>Section 2.4.</w:t>
        <w:tab/>
      </w:r>
      <w:r>
        <w:rPr>
          <w:rFonts w:cs="Times New Roman" w:ascii="Times New Roman" w:hAnsi="Times New Roman"/>
          <w:sz w:val="24"/>
          <w:u w:val="single"/>
        </w:rPr>
        <w:t>Arbitration</w:t>
      </w:r>
      <w:r>
        <w:rPr>
          <w:rFonts w:cs="Times New Roman" w:ascii="Times New Roman" w:hAnsi="Times New Roman"/>
          <w:sz w:val="24"/>
        </w:rPr>
        <w:t>.  Any dispute relating to this MOU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conducted in Houston, Texas.  Within thirty days of the notice of initiation of the arbitration procedure, each Party shall select one arbitrator, then the two arbitrators shall select an additional panel members.  While the final arbitrator must be neutral, the two Party-appointed arbitrators are not required to be neutral.  In no event shall the arbitrator have the authority to award punitive or exemplary damages for breach of this MOU, whether founded in tort, contract or otherwise, in respect of any claims asserted under this MOU.  This paragraph shall survive the termination of the MOU.</w:t>
      </w:r>
    </w:p>
    <w:p>
      <w:pPr>
        <w:pStyle w:val="Heading2"/>
        <w:ind w:hanging="0" w:start="0"/>
        <w:rPr/>
      </w:pPr>
      <w:r>
        <w:rPr/>
        <w:t>Section 2.5</w:t>
        <w:tab/>
      </w:r>
      <w:r>
        <w:rPr>
          <w:u w:val="single"/>
        </w:rPr>
        <w:t>Confidentiality</w:t>
      </w:r>
      <w:r>
        <w:rPr/>
        <w:t>.  The existence of this MOU and its contents are intended to be confidential and are not to be discussed with or disclosed to any third party, except (a) with the express prior written consent of the other Party to this MOU, (b) as may be required or appropriate in response to any summons, subpoena or discovery order or to comply with any applicable law, order, regulation or ruling or (c) as either Party, or their designees and representatives, reasonably deem appropriate in order to conduct due diligence or other investigations relating to the Transactions.</w:t>
      </w:r>
    </w:p>
    <w:p>
      <w:pPr>
        <w:pStyle w:val="Heading2"/>
        <w:ind w:hanging="0" w:start="0"/>
        <w:rPr/>
      </w:pPr>
      <w:r>
        <w:rPr/>
        <w:t>Section 2.6</w:t>
        <w:tab/>
      </w:r>
      <w:r>
        <w:rPr>
          <w:u w:val="single"/>
        </w:rPr>
        <w:t>Expenses</w:t>
      </w:r>
      <w:r>
        <w:rPr/>
        <w:t>.  Each Party shall pay their respective legal fees, professional fees and other transaction costs incurred in the development of a business plan and the negotiation of the Formation Agreement and any other Definitive Agreements, whether or not there is final agreement thereto.</w:t>
      </w:r>
    </w:p>
    <w:p>
      <w:pPr>
        <w:pStyle w:val="Heading2"/>
        <w:ind w:hanging="0" w:start="0"/>
        <w:rPr/>
      </w:pPr>
      <w:r>
        <w:rPr/>
        <w:t>Section 2.7</w:t>
        <w:tab/>
      </w:r>
      <w:r>
        <w:rPr>
          <w:u w:val="single"/>
        </w:rPr>
        <w:t>Management Approval</w:t>
      </w:r>
      <w:r>
        <w:rPr/>
        <w:t>.  In addition to the other conditions herein, the closing of any transaction and the execution of the Definitive Agreements are subject to the internal management approvals of the Parties, which approvals have not yet been obtained.</w:t>
      </w:r>
    </w:p>
    <w:p>
      <w:pPr>
        <w:pStyle w:val="Heading2"/>
        <w:ind w:hanging="0" w:start="0"/>
        <w:rPr/>
      </w:pPr>
      <w:r>
        <w:rPr/>
        <w:t>Section 2.8</w:t>
        <w:tab/>
      </w:r>
      <w:r>
        <w:rPr>
          <w:u w:val="single"/>
        </w:rPr>
        <w:t>Non-binding Nature and Survival of Covenants</w:t>
      </w:r>
      <w:r>
        <w:rPr/>
        <w:t>. The matters set forth in Article I of this MOU do not constitute a binding and enforceable contract between the Parties or a duty on the part of either Party to negotiate in good faith toward a business plan or a binding contract, and may not be relied upon by either Party as the basis for a contract by estoppel or otherwise.  An agreement and binding commitment and contract will only occur upon execution of definitive written agreements by the Parties enabling each Party to participate in the form of business agreed to by the Parties and only under the terms of all written agreements executed by the Parties, which agreements may include the Formation Agreement (the “Definitive Agreements”).  Neither Party shall be obligated to enter into any Definitive Agreements.  This MOU is solely an expression of the Parties’ present intentions so that negotiations and due diligence may commence but either Party may cease negotiations or due diligence in connection therewith at any time in its sole discretion.  Neither Party may bring any claim or action against the other Party as a result of a failure to agree on or enter into the Definitive Agreements as contemplated in Article I hereof.  The matters set forth in Article II of this MOU, however, constitute binding agreements between the Parties, and all of such binding agreements shall cease upon the earlier to occur of (i) the Parties’ inability to agree upon the Commercial Terms and otherwise devise the business plan by the Business Plan Deadline, (ii) the Parties failure to execute the Definitive Agreements by the Closing Deadline or (iii) the Closing; provided that the terms of Section 2.4, 2.5, 2.6 2.8, 2.9 and 2.10 shall survive the termination of this MOU.</w:t>
      </w:r>
    </w:p>
    <w:p>
      <w:pPr>
        <w:pStyle w:val="Heading2"/>
        <w:ind w:hanging="0" w:start="0"/>
        <w:rPr/>
      </w:pPr>
      <w:r>
        <w:rPr/>
        <w:t>Section 2.9</w:t>
        <w:tab/>
      </w:r>
      <w:r>
        <w:rPr>
          <w:u w:val="single"/>
        </w:rPr>
        <w:t>No Oral Agreements</w:t>
      </w:r>
      <w:r>
        <w:rPr/>
        <w:t>.  Subject to the foregoing, this MOU sets out the Parties understanding as of this date, and there are no other written or oral agreements or understandings among the Parties. This MOU may be amended or modified only by written agreement of the Parties.</w:t>
      </w:r>
    </w:p>
    <w:p>
      <w:pPr>
        <w:pStyle w:val="Heading2"/>
        <w:ind w:hanging="0" w:start="0"/>
        <w:rPr/>
      </w:pPr>
      <w:r>
        <w:rPr/>
        <w:t>Section 2.10</w:t>
        <w:tab/>
      </w:r>
      <w:r>
        <w:rPr>
          <w:u w:val="single"/>
        </w:rPr>
        <w:t>Governing Law</w:t>
      </w:r>
      <w:r>
        <w:rPr/>
        <w:t>.  This MOU and ENA’s and Convergent’s rights and obligations hereunder shall be governed by and construed in accordance with the internal (not conflicts of laws) law of the State of Texas.</w:t>
      </w:r>
    </w:p>
    <w:p>
      <w:pPr>
        <w:pStyle w:val="Justified"/>
        <w:rPr/>
      </w:pPr>
      <w:r>
        <w:rPr/>
      </w:r>
    </w:p>
    <w:p>
      <w:pPr>
        <w:pStyle w:val="Normal"/>
        <w:jc w:val="both"/>
        <w:rPr>
          <w:rFonts w:ascii="Times New Roman" w:hAnsi="Times New Roman" w:cs="Times New Roman"/>
          <w:sz w:val="24"/>
        </w:rPr>
      </w:pPr>
      <w:r>
        <w:rPr>
          <w:rFonts w:cs="Times New Roman" w:ascii="Times New Roman" w:hAnsi="Times New Roman"/>
          <w:sz w:val="24"/>
        </w:rPr>
        <w:t>If the terms and conditions of this MOU are in accord with your understanding, please sign where provided below.</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TableText"/>
              <w:ind w:hanging="4140" w:start="4320" w:end="0"/>
              <w:rPr>
                <w:rFonts w:ascii="Times New Roman" w:hAnsi="Times New Roman" w:cs="Times New Roman"/>
                <w:b/>
                <w:bCs/>
                <w:caps/>
              </w:rPr>
            </w:pPr>
            <w:r>
              <w:rPr>
                <w:rFonts w:cs="Times New Roman" w:ascii="Times New Roman" w:hAnsi="Times New Roman"/>
                <w:b/>
                <w:bCs/>
                <w:caps/>
              </w:rPr>
              <w:t>Enron North American Corp.</w:t>
            </w:r>
          </w:p>
          <w:p>
            <w:pPr>
              <w:pStyle w:val="TableText"/>
              <w:ind w:hanging="4140" w:start="4320" w:end="0"/>
              <w:rPr>
                <w:rFonts w:ascii="Times New Roman" w:hAnsi="Times New Roman" w:cs="Times New Roman"/>
                <w:b/>
                <w:bCs/>
                <w:caps/>
              </w:rPr>
            </w:pPr>
            <w:r>
              <w:rPr>
                <w:rFonts w:cs="Times New Roman" w:ascii="Times New Roman" w:hAnsi="Times New Roman"/>
                <w:b/>
                <w:bCs/>
                <w:caps/>
              </w:rPr>
            </w:r>
          </w:p>
          <w:p>
            <w:pPr>
              <w:pStyle w:val="TableText"/>
              <w:ind w:hanging="4140" w:start="4320" w:end="0"/>
              <w:rPr>
                <w:rFonts w:ascii="Times New Roman" w:hAnsi="Times New Roman" w:cs="Times New Roman"/>
              </w:rPr>
            </w:pPr>
            <w:r>
              <w:rPr>
                <w:rFonts w:cs="Times New Roman" w:ascii="Times New Roman" w:hAnsi="Times New Roman"/>
              </w:rPr>
            </w:r>
          </w:p>
          <w:p>
            <w:pPr>
              <w:pStyle w:val="TableText"/>
              <w:ind w:hanging="4140" w:start="4320" w:end="0"/>
              <w:rPr>
                <w:rFonts w:ascii="Times New Roman" w:hAnsi="Times New Roman" w:cs="Times New Roman"/>
              </w:rPr>
            </w:pPr>
            <w:r>
              <w:rPr>
                <w:rFonts w:cs="Times New Roman" w:ascii="Times New Roman" w:hAnsi="Times New Roman"/>
              </w:rPr>
            </w:r>
          </w:p>
          <w:p>
            <w:pPr>
              <w:pStyle w:val="TableText"/>
              <w:ind w:hanging="4140" w:start="4320" w:end="0"/>
              <w:rPr>
                <w:rFonts w:ascii="Times New Roman" w:hAnsi="Times New Roman" w:cs="Times New Roman"/>
              </w:rPr>
            </w:pPr>
            <w:r>
              <w:rPr>
                <w:rFonts w:cs="Times New Roman" w:ascii="Times New Roman" w:hAnsi="Times New Roman"/>
              </w:rPr>
              <w:t>By: _________________________</w:t>
            </w:r>
          </w:p>
          <w:p>
            <w:pPr>
              <w:pStyle w:val="TableText"/>
              <w:ind w:hanging="4140" w:start="4320" w:end="0"/>
              <w:rPr>
                <w:rFonts w:ascii="Times New Roman" w:hAnsi="Times New Roman" w:cs="Times New Roman"/>
              </w:rPr>
            </w:pPr>
            <w:r>
              <w:rPr>
                <w:rFonts w:cs="Times New Roman" w:ascii="Times New Roman" w:hAnsi="Times New Roman"/>
              </w:rPr>
              <w:t>Its __________________________</w:t>
            </w:r>
          </w:p>
          <w:p>
            <w:pPr>
              <w:pStyle w:val="Normal"/>
              <w:ind w:hanging="4140" w:end="0"/>
              <w:jc w:val="both"/>
              <w:rPr>
                <w:rFonts w:ascii="Times New Roman" w:hAnsi="Times New Roman" w:cs="Times New Roman"/>
                <w:sz w:val="24"/>
              </w:rPr>
            </w:pPr>
            <w:r>
              <w:rPr>
                <w:rFonts w:cs="Times New Roman" w:ascii="Times New Roman" w:hAnsi="Times New Roman"/>
              </w:rPr>
              <w:t>Its __________________________</w:t>
            </w:r>
          </w:p>
        </w:tc>
        <w:tc>
          <w:tcPr>
            <w:tcW w:w="4428" w:type="dxa"/>
            <w:tcBorders/>
          </w:tcPr>
          <w:p>
            <w:pPr>
              <w:pStyle w:val="Normal"/>
              <w:jc w:val="both"/>
              <w:rPr>
                <w:rFonts w:ascii="Times New Roman" w:hAnsi="Times New Roman" w:cs="Times New Roman"/>
                <w:b/>
                <w:bCs/>
                <w:sz w:val="24"/>
              </w:rPr>
            </w:pPr>
            <w:r>
              <w:rPr>
                <w:rFonts w:cs="Times New Roman" w:ascii="Times New Roman" w:hAnsi="Times New Roman"/>
                <w:b/>
                <w:bCs/>
                <w:sz w:val="24"/>
              </w:rPr>
              <w:t>CONVERGENT ENERGY GROUP INC.</w:t>
            </w:r>
          </w:p>
          <w:p>
            <w:pPr>
              <w:pStyle w:val="Normal"/>
              <w:jc w:val="both"/>
              <w:rPr>
                <w:rFonts w:ascii="Times New Roman" w:hAnsi="Times New Roman" w:cs="Times New Roman"/>
                <w:b/>
                <w:bCs/>
                <w:sz w:val="24"/>
              </w:rPr>
            </w:pPr>
            <w:r>
              <w:rPr>
                <w:rFonts w:cs="Times New Roman" w:ascii="Times New Roman" w:hAnsi="Times New Roman"/>
                <w:b/>
                <w:bCs/>
                <w:sz w:val="24"/>
              </w:rPr>
            </w:r>
          </w:p>
          <w:p>
            <w:pPr>
              <w:pStyle w:val="Normal"/>
              <w:jc w:val="both"/>
              <w:rPr>
                <w:rFonts w:ascii="Times New Roman" w:hAnsi="Times New Roman" w:cs="Times New Roman"/>
                <w:b/>
                <w:bCs/>
                <w:sz w:val="24"/>
              </w:rPr>
            </w:pPr>
            <w:r>
              <w:rPr>
                <w:rFonts w:cs="Times New Roman" w:ascii="Times New Roman" w:hAnsi="Times New Roman"/>
                <w:b/>
                <w:bCs/>
                <w:sz w:val="24"/>
              </w:rPr>
            </w:r>
          </w:p>
          <w:p>
            <w:pPr>
              <w:pStyle w:val="TableText"/>
              <w:rPr>
                <w:rFonts w:ascii="Times New Roman" w:hAnsi="Times New Roman" w:cs="Times New Roman"/>
              </w:rPr>
            </w:pPr>
            <w:r>
              <w:rPr>
                <w:rFonts w:cs="Times New Roman" w:ascii="Times New Roman" w:hAnsi="Times New Roman"/>
              </w:rPr>
              <w:t>By: _________________________</w:t>
            </w:r>
          </w:p>
          <w:p>
            <w:pPr>
              <w:pStyle w:val="Heading2"/>
              <w:ind w:hanging="0" w:start="0"/>
              <w:rPr/>
            </w:pPr>
            <w:r>
              <w:rPr/>
              <w:t>Its __________________________</w:t>
            </w:r>
          </w:p>
          <w:p>
            <w:pPr>
              <w:pStyle w:val="Normal"/>
              <w:jc w:val="both"/>
              <w:rPr>
                <w:rFonts w:ascii="Times New Roman" w:hAnsi="Times New Roman" w:cs="Times New Roman"/>
                <w:b/>
                <w:bCs/>
                <w:sz w:val="24"/>
              </w:rPr>
            </w:pPr>
            <w:r>
              <w:rPr>
                <w:rFonts w:cs="Times New Roman" w:ascii="Times New Roman" w:hAnsi="Times New Roman"/>
                <w:b/>
                <w:bCs/>
                <w:sz w:val="24"/>
              </w:rPr>
            </w:r>
          </w:p>
        </w:tc>
      </w:tr>
    </w:tbl>
    <w:p>
      <w:pPr>
        <w:pStyle w:val="TableText"/>
        <w:jc w:val="center"/>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/mnt/main-storage/datasets/enron-docs/doc/Memorandum_of_Understanding._2_22_01_redline.doc</w:t>
    </w:r>
    <w:r>
      <w:rPr>
        <w:sz w:val="12"/>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486400" cy="335915"/>
              <wp:effectExtent l="0" t="0" r="0" b="0"/>
              <wp:wrapSquare wrapText="bothSides"/>
              <wp:docPr id="2" name="Frame1"/>
              <a:graphic xmlns:a="http://schemas.openxmlformats.org/drawingml/2006/main">
                <a:graphicData uri="http://schemas.microsoft.com/office/word/2010/wordprocessingShape">
                  <wps:wsp>
                    <wps:cNvSpPr txBox="1"/>
                    <wps:spPr>
                      <a:xfrm>
                        <a:off x="0" y="0"/>
                        <a:ext cx="5486400" cy="335915"/>
                      </a:xfrm>
                      <a:prstGeom prst="rect"/>
                      <a:solidFill>
                        <a:srgbClr val="FFFFFF">
                          <a:alpha val="0"/>
                        </a:srgbClr>
                      </a:solidFill>
                    </wps:spPr>
                    <wps:txbx>
                      <w:txbxContent>
                        <w:p>
                          <w:pPr>
                            <w:pStyle w:val="Footer"/>
                            <w:rPr>
                              <w:rStyle w:val="PageNumber"/>
                            </w:rPr>
                          </w:pPr>
                          <w:r>
                            <w:rPr/>
                          </w:r>
                        </w:p>
                        <w:p>
                          <w:pPr>
                            <w:pStyle w:val="Footer"/>
                            <w:jc w:val="cen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5</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432pt;height:26.4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jc w:val="cen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5</w:t>
                    </w:r>
                    <w:r>
                      <w:rPr>
                        <w:rStyle w:val="PageNumber"/>
                        <w:sz w:val="24"/>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rStyle w:val="PageNumber"/>
        <w:rFonts w:ascii="Times New Roman" w:hAnsi="Times New Roman" w:cs="Times New Roman"/>
        <w:sz w:val="24"/>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14605" cy="16065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bCs/>
        <w:sz w:val="24"/>
      </w:rPr>
    </w:pPr>
    <w:r>
      <w:rPr>
        <w:rFonts w:cs="Times New Roman" w:ascii="Times New Roman" w:hAnsi="Times New Roman"/>
        <w:b/>
        <w:bCs/>
        <w:sz w:val="24"/>
      </w:rPr>
      <w:t>ENRON DRAFT OF February 22, 2001</w:t>
    </w:r>
  </w:p>
  <w:p>
    <w:pPr>
      <w:pStyle w:val="Header"/>
      <w:jc w:val="end"/>
      <w:rPr>
        <w:rFonts w:ascii="Times New Roman" w:hAnsi="Times New Roman" w:cs="Times New Roman"/>
        <w:b/>
        <w:bCs/>
        <w:sz w:val="24"/>
      </w:rPr>
    </w:pPr>
    <w:r>
      <w:rPr>
        <w:rFonts w:cs="Times New Roman" w:ascii="Times New Roman" w:hAnsi="Times New Roman"/>
        <w:b/>
        <w:bCs/>
        <w:sz w:val="24"/>
      </w:rPr>
      <w:t xml:space="preserve">FOR DISCUSSION PURPOSES ONLY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2"/>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b/>
      <w:u w:val="single"/>
    </w:rPr>
  </w:style>
  <w:style w:type="paragraph" w:styleId="Heading2">
    <w:name w:val="heading 2"/>
    <w:basedOn w:val="Normal"/>
    <w:next w:val="Justified"/>
    <w:qFormat/>
    <w:pPr>
      <w:numPr>
        <w:ilvl w:val="1"/>
        <w:numId w:val="1"/>
      </w:numPr>
      <w:spacing w:before="0" w:after="120"/>
      <w:jc w:val="both"/>
      <w:outlineLvl w:val="1"/>
    </w:pPr>
    <w:rPr>
      <w:rFonts w:ascii="Times New Roman" w:hAnsi="Times New Roman" w:cs="Times New Roman"/>
      <w:sz w:val="24"/>
    </w:rPr>
  </w:style>
  <w:style w:type="paragraph" w:styleId="Heading3">
    <w:name w:val="heading 3"/>
    <w:basedOn w:val="Normal"/>
    <w:next w:val="BodyText"/>
    <w:qFormat/>
    <w:pPr>
      <w:numPr>
        <w:ilvl w:val="2"/>
        <w:numId w:val="1"/>
      </w:numPr>
      <w:spacing w:before="0" w:after="120"/>
      <w:ind w:hanging="0" w:start="0" w:end="1440"/>
      <w:jc w:val="both"/>
      <w:outlineLvl w:val="2"/>
    </w:pPr>
    <w:rPr>
      <w:rFonts w:ascii="Courier New" w:hAnsi="Courier New" w:cs="Courier New"/>
      <w:sz w:val="24"/>
    </w:rPr>
  </w:style>
  <w:style w:type="paragraph" w:styleId="Heading4">
    <w:name w:val="heading 4"/>
    <w:basedOn w:val="Heading1"/>
    <w:next w:val="BodyText"/>
    <w:qFormat/>
    <w:pPr>
      <w:numPr>
        <w:ilvl w:val="3"/>
        <w:numId w:val="1"/>
      </w:numPr>
      <w:spacing w:before="240" w:after="240"/>
      <w:ind w:hanging="0" w:start="0" w:end="1440"/>
      <w:outlineLvl w:val="3"/>
    </w:pPr>
    <w:rPr>
      <w:rFonts w:ascii="Courier New" w:hAnsi="Courier New" w:cs="Courier New"/>
      <w:b w:val="false"/>
      <w:sz w:val="24"/>
      <w:u w:val="none"/>
    </w:rPr>
  </w:style>
  <w:style w:type="paragraph" w:styleId="Heading5">
    <w:name w:val="heading 5"/>
    <w:basedOn w:val="Normal"/>
    <w:next w:val="NormalIndent"/>
    <w:qFormat/>
    <w:pPr>
      <w:numPr>
        <w:ilvl w:val="4"/>
        <w:numId w:val="1"/>
      </w:numPr>
      <w:outlineLvl w:val="4"/>
    </w:pPr>
    <w:rPr>
      <w:rFonts w:ascii="Courier New" w:hAnsi="Courier New" w:cs="Courier New"/>
      <w:b/>
      <w:sz w:val="20"/>
    </w:rPr>
  </w:style>
  <w:style w:type="paragraph" w:styleId="Heading6">
    <w:name w:val="heading 6"/>
    <w:basedOn w:val="Normal"/>
    <w:next w:val="BodyText"/>
    <w:qFormat/>
    <w:pPr>
      <w:numPr>
        <w:ilvl w:val="5"/>
        <w:numId w:val="1"/>
      </w:numPr>
      <w:spacing w:before="0" w:after="120"/>
      <w:ind w:hanging="0" w:start="0" w:end="1440"/>
      <w:jc w:val="both"/>
      <w:outlineLvl w:val="5"/>
    </w:pPr>
    <w:rPr>
      <w:rFonts w:ascii="Courier New" w:hAnsi="Courier New" w:cs="Courier New"/>
      <w:sz w:val="24"/>
    </w:rPr>
  </w:style>
  <w:style w:type="paragraph" w:styleId="Heading7">
    <w:name w:val="heading 7"/>
    <w:basedOn w:val="Normal"/>
    <w:next w:val="BodyText"/>
    <w:qFormat/>
    <w:pPr>
      <w:numPr>
        <w:ilvl w:val="6"/>
        <w:numId w:val="1"/>
      </w:numPr>
      <w:spacing w:before="0" w:after="120"/>
      <w:ind w:hanging="0" w:start="0" w:end="2160"/>
      <w:jc w:val="both"/>
      <w:outlineLvl w:val="6"/>
    </w:pPr>
    <w:rPr>
      <w:rFonts w:ascii="Courier New" w:hAnsi="Courier New" w:cs="Courier New"/>
      <w:sz w:val="24"/>
    </w:rPr>
  </w:style>
  <w:style w:type="paragraph" w:styleId="Heading8">
    <w:name w:val="heading 8"/>
    <w:basedOn w:val="Normal"/>
    <w:next w:val="BodyText"/>
    <w:qFormat/>
    <w:pPr>
      <w:numPr>
        <w:ilvl w:val="7"/>
        <w:numId w:val="1"/>
      </w:numPr>
      <w:spacing w:before="0" w:after="240"/>
      <w:jc w:val="both"/>
      <w:outlineLvl w:val="7"/>
    </w:pPr>
    <w:rPr>
      <w:rFonts w:ascii="Courier New" w:hAnsi="Courier New" w:cs="Courier New"/>
      <w:sz w:val="24"/>
    </w:rPr>
  </w:style>
  <w:style w:type="paragraph" w:styleId="Heading9">
    <w:name w:val="heading 9"/>
    <w:basedOn w:val="Normal"/>
    <w:next w:val="NormalIndent"/>
    <w:qFormat/>
    <w:pPr>
      <w:numPr>
        <w:ilvl w:val="8"/>
        <w:numId w:val="1"/>
      </w:numPr>
      <w:outlineLvl w:val="8"/>
    </w:pPr>
    <w:rPr>
      <w:rFonts w:ascii="Courier New" w:hAnsi="Courier New" w:cs="Courier New"/>
      <w:i/>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bCs/>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Times New Roman" w:hAnsi="Times New Roman" w:cs="Times New Roman"/>
    </w:rPr>
  </w:style>
  <w:style w:type="paragraph" w:styleId="Justified">
    <w:name w:val="Justified"/>
    <w:basedOn w:val="Normal"/>
    <w:next w:val="Heading2"/>
    <w:qFormat/>
    <w:pPr>
      <w:spacing w:before="0" w:after="120"/>
      <w:jc w:val="both"/>
    </w:pPr>
    <w:rPr>
      <w:rFonts w:ascii="Courier New" w:hAnsi="Courier New" w:cs="Courier New"/>
      <w:sz w:val="24"/>
    </w:rPr>
  </w:style>
  <w:style w:type="paragraph" w:styleId="BodyTextIndent2">
    <w:name w:val="Body Text Indent 2"/>
    <w:basedOn w:val="Normal"/>
    <w:qFormat/>
    <w:pPr>
      <w:ind w:firstLine="720" w:start="0" w:end="0"/>
      <w:jc w:val="both"/>
    </w:pPr>
    <w:rPr>
      <w:rFonts w:ascii="Courier New" w:hAnsi="Courier New" w:cs="Courier New"/>
      <w:sz w:val="24"/>
    </w:rPr>
  </w:style>
  <w:style w:type="paragraph" w:styleId="NormalIndent">
    <w:name w:val="Normal Indent"/>
    <w:basedOn w:val="Normal"/>
    <w:qFormat/>
    <w:pPr>
      <w:ind w:hanging="0" w:start="720" w:end="0"/>
    </w:pPr>
    <w:rPr/>
  </w:style>
  <w:style w:type="paragraph" w:styleId="TableText">
    <w:name w:val="Table Text"/>
    <w:qFormat/>
    <w:pPr>
      <w:widowControl/>
      <w:bidi w:val="0"/>
    </w:pPr>
    <w:rPr>
      <w:rFonts w:ascii="Arial" w:hAnsi="Arial" w:eastAsia="Times New Roman" w:cs="Arial"/>
      <w:color w:val="000000"/>
      <w:sz w:val="24"/>
      <w:szCs w:val="20"/>
      <w:lang w:val="en-US" w:bidi="ar-SA" w:eastAsia="zh-CN"/>
    </w:rPr>
  </w:style>
  <w:style w:type="paragraph" w:styleId="BodyTextIndent3">
    <w:name w:val="Body Text Indent 3"/>
    <w:basedOn w:val="Normal"/>
    <w:qFormat/>
    <w:pPr>
      <w:ind w:hanging="720" w:start="1170" w:end="0"/>
      <w:jc w:val="both"/>
    </w:pPr>
    <w:rPr>
      <w:rFonts w:ascii="Times New Roman" w:hAnsi="Times New Roman" w:cs="Times New Roman"/>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2001-02-22T13:12:00Z</dcterms:created>
  <dc:creator>protmp1</dc:creator>
  <dc:description/>
  <dc:language>en-CA</dc:language>
  <cp:lastModifiedBy>svanhoo</cp:lastModifiedBy>
  <cp:lastPrinted>2001-02-22T09:25:00Z</cp:lastPrinted>
  <dcterms:modified xsi:type="dcterms:W3CDTF">2001-02-22T13:12:00Z</dcterms:modified>
  <cp:revision>2</cp:revision>
  <dc:subject/>
  <dc:title>April 27, 1999</dc:title>
</cp:coreProperties>
</file>