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360"/>
        <w:rPr/>
      </w:pPr>
      <w:r>
        <w:rPr/>
        <w:t>Memorandum</w:t>
      </w:r>
    </w:p>
    <w:p>
      <w:pPr>
        <w:pStyle w:val="DeliveryPhrase"/>
        <w:numPr>
          <w:ilvl w:val="0"/>
          <w:numId w:val="0"/>
        </w:numPr>
        <w:outlineLvl w:val="0"/>
        <w:rPr/>
      </w:pPr>
      <w:r>
        <w:rPr/>
        <w:t>Confidential</w:t>
        <w:br/>
        <w:t>Attorney-Client Privilege</w:t>
      </w:r>
    </w:p>
    <w:p>
      <w:pPr>
        <w:pStyle w:val="Normal"/>
        <w:spacing w:before="0" w:after="720"/>
        <w:rPr/>
      </w:pPr>
      <w:r>
        <w:rPr/>
      </w:r>
    </w:p>
    <w:tbl>
      <w:tblPr>
        <w:tblW w:w="9576" w:type="dxa"/>
        <w:jc w:val="start"/>
        <w:tblInd w:w="0" w:type="dxa"/>
        <w:tblLayout w:type="fixed"/>
        <w:tblCellMar>
          <w:top w:w="0" w:type="dxa"/>
          <w:start w:w="0" w:type="dxa"/>
          <w:bottom w:w="0" w:type="dxa"/>
          <w:end w:w="0" w:type="dxa"/>
        </w:tblCellMar>
      </w:tblPr>
      <w:tblGrid>
        <w:gridCol w:w="1440"/>
        <w:gridCol w:w="8136"/>
      </w:tblGrid>
      <w:tr>
        <w:trPr/>
        <w:tc>
          <w:tcPr>
            <w:tcW w:w="1440" w:type="dxa"/>
            <w:tcBorders/>
          </w:tcPr>
          <w:p>
            <w:pPr>
              <w:pStyle w:val="tblHeading"/>
              <w:spacing w:before="0" w:after="120"/>
              <w:rPr/>
            </w:pPr>
            <w:r>
              <w:rPr/>
              <w:t>To:</w:t>
            </w:r>
          </w:p>
        </w:tc>
        <w:tc>
          <w:tcPr>
            <w:tcW w:w="8136" w:type="dxa"/>
            <w:tcBorders/>
          </w:tcPr>
          <w:p>
            <w:pPr>
              <w:pStyle w:val="tblText"/>
              <w:spacing w:before="0" w:after="120"/>
              <w:ind w:hanging="0" w:start="0" w:end="216"/>
              <w:rPr/>
            </w:pPr>
            <w:r>
              <w:rPr/>
              <w:t>Richard Sanders</w:t>
            </w:r>
          </w:p>
        </w:tc>
      </w:tr>
      <w:tr>
        <w:trPr/>
        <w:tc>
          <w:tcPr>
            <w:tcW w:w="1440" w:type="dxa"/>
            <w:tcBorders/>
          </w:tcPr>
          <w:p>
            <w:pPr>
              <w:pStyle w:val="tblHeading"/>
              <w:spacing w:before="0" w:after="120"/>
              <w:rPr/>
            </w:pPr>
            <w:r>
              <w:rPr/>
              <w:t>From:</w:t>
            </w:r>
          </w:p>
        </w:tc>
        <w:tc>
          <w:tcPr>
            <w:tcW w:w="8136" w:type="dxa"/>
            <w:tcBorders/>
          </w:tcPr>
          <w:p>
            <w:pPr>
              <w:pStyle w:val="tblText"/>
              <w:spacing w:before="0" w:after="120"/>
              <w:ind w:hanging="0" w:start="0" w:end="216"/>
              <w:rPr/>
            </w:pPr>
            <w:r>
              <w:rPr/>
              <w:t>Steve Howard</w:t>
            </w:r>
          </w:p>
        </w:tc>
      </w:tr>
      <w:tr>
        <w:trPr/>
        <w:tc>
          <w:tcPr>
            <w:tcW w:w="1440" w:type="dxa"/>
            <w:tcBorders/>
          </w:tcPr>
          <w:p>
            <w:pPr>
              <w:pStyle w:val="tblHeading"/>
              <w:spacing w:before="0" w:after="120"/>
              <w:rPr/>
            </w:pPr>
            <w:r>
              <w:rPr/>
              <w:t>Date:</w:t>
            </w:r>
          </w:p>
        </w:tc>
        <w:tc>
          <w:tcPr>
            <w:tcW w:w="8136" w:type="dxa"/>
            <w:tcBorders/>
          </w:tcPr>
          <w:p>
            <w:pPr>
              <w:pStyle w:val="MemoDate"/>
              <w:spacing w:before="0" w:after="120"/>
              <w:rPr/>
            </w:pPr>
            <w:r>
              <w:rPr/>
              <w:t>May 2, 2001</w:t>
            </w:r>
          </w:p>
        </w:tc>
      </w:tr>
      <w:tr>
        <w:trPr/>
        <w:tc>
          <w:tcPr>
            <w:tcW w:w="1440" w:type="dxa"/>
            <w:tcBorders/>
          </w:tcPr>
          <w:p>
            <w:pPr>
              <w:pStyle w:val="tblHeading"/>
              <w:spacing w:before="0" w:after="120"/>
              <w:rPr/>
            </w:pPr>
            <w:r>
              <w:rPr/>
              <w:t>In Re:</w:t>
            </w:r>
          </w:p>
        </w:tc>
        <w:tc>
          <w:tcPr>
            <w:tcW w:w="8136" w:type="dxa"/>
            <w:tcBorders/>
          </w:tcPr>
          <w:p>
            <w:pPr>
              <w:pStyle w:val="tblText"/>
              <w:spacing w:before="0" w:after="120"/>
              <w:ind w:hanging="0" w:start="0" w:end="216"/>
              <w:rPr/>
            </w:pPr>
            <w:r>
              <w:rPr/>
              <w:t>Analysis Of Rights Of Defendants in NSM California Cases to Recover From Other Defendants A Portion Of Any Payment That They Make to Plaintiffs Pursuant To Judgment Or Settlement</w:t>
            </w:r>
          </w:p>
        </w:tc>
      </w:tr>
      <w:tr>
        <w:trPr/>
        <w:tc>
          <w:tcPr>
            <w:tcW w:w="1440" w:type="dxa"/>
            <w:tcBorders/>
          </w:tcPr>
          <w:p>
            <w:pPr>
              <w:pStyle w:val="tblHeading"/>
              <w:spacing w:before="0" w:after="120"/>
              <w:rPr/>
            </w:pPr>
            <w:r>
              <w:rPr/>
              <w:t>File No.:</w:t>
            </w:r>
          </w:p>
        </w:tc>
        <w:tc>
          <w:tcPr>
            <w:tcW w:w="8136" w:type="dxa"/>
            <w:tcBorders/>
          </w:tcPr>
          <w:p>
            <w:pPr>
              <w:pStyle w:val="tblText"/>
              <w:spacing w:before="0" w:after="120"/>
              <w:ind w:hanging="0" w:start="0" w:end="216"/>
              <w:rPr/>
            </w:pPr>
            <w:r>
              <w:rPr/>
              <w:t>12169-202244</w:t>
            </w:r>
          </w:p>
        </w:tc>
      </w:tr>
      <w:tr>
        <w:trPr/>
        <w:tc>
          <w:tcPr>
            <w:tcW w:w="9576" w:type="dxa"/>
            <w:gridSpan w:val="2"/>
            <w:tcBorders>
              <w:top w:val="single" w:sz="12" w:space="0" w:color="000000"/>
            </w:tcBorders>
            <w:tcMar>
              <w:start w:w="108" w:type="dxa"/>
              <w:end w:w="108" w:type="dxa"/>
            </w:tcMar>
          </w:tcPr>
          <w:p>
            <w:pPr>
              <w:pStyle w:val="Normal"/>
              <w:snapToGrid w:val="false"/>
              <w:rPr/>
            </w:pPr>
            <w:r>
              <w:rPr/>
            </w:r>
          </w:p>
        </w:tc>
      </w:tr>
    </w:tbl>
    <w:p>
      <w:pPr>
        <w:pStyle w:val="Normal"/>
        <w:spacing w:lineRule="auto" w:line="480"/>
        <w:ind w:firstLine="1440" w:end="0"/>
        <w:rPr/>
      </w:pPr>
      <w:r>
        <w:rPr/>
        <w:t xml:space="preserve">The following is an outline of the relevant substantive and procedural law relating to the rights of a judgment debtor or settling defendant in the </w:t>
      </w:r>
      <w:r>
        <w:rPr>
          <w:u w:val="single"/>
        </w:rPr>
        <w:t>Farallon</w:t>
      </w:r>
      <w:r>
        <w:rPr/>
        <w:t xml:space="preserve"> and/or </w:t>
      </w:r>
      <w:r>
        <w:rPr>
          <w:u w:val="single"/>
        </w:rPr>
        <w:t>Legg Mason</w:t>
      </w:r>
      <w:r>
        <w:rPr/>
        <w:t xml:space="preserve"> cases to recover a portion of its payment to the plaintiff from another defendant or from another person who would also be liable to the plaintiff if such person were sued by the plaintiff.  It is important to understand that, with respect to claims under the California Corporate Securities Law (the “CCSL”), the law relating to these matters is extremely thin and in some instances nonexistent.</w:t>
      </w:r>
    </w:p>
    <w:p>
      <w:pPr>
        <w:pStyle w:val="MemoSignatureSub"/>
        <w:spacing w:lineRule="auto" w:line="480" w:before="0" w:after="0"/>
        <w:rPr/>
      </w:pPr>
      <w:r>
        <w:rPr/>
      </w:r>
    </w:p>
    <w:p>
      <w:pPr>
        <w:pStyle w:val="Normal"/>
        <w:spacing w:lineRule="auto" w:line="480"/>
        <w:ind w:hanging="720" w:start="720" w:end="0"/>
        <w:rPr/>
      </w:pPr>
      <w:r>
        <w:rPr>
          <w:b/>
          <w:bCs/>
        </w:rPr>
        <w:t>I.</w:t>
        <w:tab/>
        <w:t xml:space="preserve">STATUTORY CONTRIBUTION AND COMMON LAW COMPARATIVE EQUITABLE INDEMNITY POTENTIALLY AVAILABLE IN THE </w:t>
      </w:r>
      <w:r>
        <w:rPr>
          <w:b/>
          <w:bCs/>
          <w:u w:val="single"/>
        </w:rPr>
        <w:t>FARALLON</w:t>
      </w:r>
      <w:r>
        <w:rPr>
          <w:b/>
          <w:bCs/>
        </w:rPr>
        <w:t xml:space="preserve"> AND </w:t>
      </w:r>
      <w:r>
        <w:rPr>
          <w:b/>
          <w:bCs/>
          <w:u w:val="single"/>
        </w:rPr>
        <w:t>LEGG MASON</w:t>
      </w:r>
      <w:r>
        <w:rPr>
          <w:b/>
          <w:bCs/>
        </w:rPr>
        <w:t xml:space="preserve"> CASES</w:t>
      </w:r>
    </w:p>
    <w:p>
      <w:pPr>
        <w:pStyle w:val="Heading6"/>
        <w:numPr>
          <w:ilvl w:val="0"/>
          <w:numId w:val="0"/>
        </w:numPr>
        <w:ind w:hanging="0" w:start="720" w:end="0"/>
        <w:rPr/>
      </w:pPr>
      <w:r>
        <w:rPr>
          <w:b w:val="false"/>
          <w:bCs w:val="false"/>
          <w:szCs w:val="20"/>
        </w:rPr>
        <w:t>As a preliminary matter</w:t>
      </w:r>
      <w:r>
        <w:rPr>
          <w:szCs w:val="20"/>
        </w:rPr>
        <w:t>,</w:t>
      </w:r>
      <w:r>
        <w:rPr>
          <w:b w:val="false"/>
          <w:bCs w:val="false"/>
          <w:szCs w:val="20"/>
        </w:rPr>
        <w:t xml:space="preserve"> it is critical to distinguish in the analysis that follows between the right of “</w:t>
      </w:r>
      <w:r>
        <w:rPr>
          <w:b w:val="false"/>
          <w:bCs w:val="false"/>
          <w:szCs w:val="20"/>
          <w:u w:val="single"/>
        </w:rPr>
        <w:t>contribution</w:t>
      </w:r>
      <w:r>
        <w:rPr>
          <w:b w:val="false"/>
          <w:bCs w:val="false"/>
          <w:szCs w:val="20"/>
        </w:rPr>
        <w:t xml:space="preserve">,” which in California is entirely a creature of </w:t>
      </w:r>
      <w:r>
        <w:rPr>
          <w:b w:val="false"/>
          <w:bCs w:val="false"/>
          <w:szCs w:val="20"/>
          <w:u w:val="single"/>
        </w:rPr>
        <w:t>statute</w:t>
      </w:r>
      <w:r>
        <w:rPr>
          <w:b w:val="false"/>
          <w:bCs w:val="false"/>
          <w:szCs w:val="20"/>
        </w:rPr>
        <w:t xml:space="preserve"> and </w:t>
      </w:r>
      <w:r>
        <w:rPr>
          <w:b w:val="false"/>
          <w:bCs w:val="false"/>
          <w:szCs w:val="20"/>
          <w:u w:val="single"/>
        </w:rPr>
        <w:t>usually</w:t>
      </w:r>
      <w:r>
        <w:rPr>
          <w:b w:val="false"/>
          <w:bCs w:val="false"/>
          <w:szCs w:val="20"/>
        </w:rPr>
        <w:t xml:space="preserve"> has </w:t>
      </w:r>
      <w:r>
        <w:rPr>
          <w:b w:val="false"/>
          <w:bCs w:val="false"/>
          <w:szCs w:val="20"/>
          <w:u w:val="single"/>
        </w:rPr>
        <w:t>nothing to do with relative fault</w:t>
      </w:r>
      <w:r>
        <w:rPr>
          <w:b w:val="false"/>
          <w:bCs w:val="false"/>
          <w:szCs w:val="20"/>
        </w:rPr>
        <w:t>, and “</w:t>
      </w:r>
      <w:r>
        <w:rPr>
          <w:b w:val="false"/>
          <w:bCs w:val="false"/>
          <w:szCs w:val="20"/>
          <w:u w:val="single"/>
        </w:rPr>
        <w:t>comparative equitable indemnity</w:t>
      </w:r>
      <w:r>
        <w:rPr>
          <w:b w:val="false"/>
          <w:bCs w:val="false"/>
          <w:szCs w:val="20"/>
        </w:rPr>
        <w:t xml:space="preserve">” </w:t>
      </w:r>
      <w:r>
        <w:rPr>
          <w:b w:val="false"/>
          <w:bCs w:val="false"/>
        </w:rPr>
        <w:t>(also called partial equitable indemnity, comparative indemnity, and equitable comparative contribution)</w:t>
      </w:r>
      <w:r>
        <w:rPr>
          <w:b w:val="false"/>
          <w:bCs w:val="false"/>
          <w:szCs w:val="20"/>
        </w:rPr>
        <w:t xml:space="preserve">, which in California has been created at </w:t>
      </w:r>
      <w:r>
        <w:rPr>
          <w:b w:val="false"/>
          <w:bCs w:val="false"/>
          <w:szCs w:val="20"/>
          <w:u w:val="single"/>
        </w:rPr>
        <w:t>common law</w:t>
      </w:r>
      <w:r>
        <w:rPr>
          <w:b w:val="false"/>
          <w:bCs w:val="false"/>
          <w:szCs w:val="20"/>
        </w:rPr>
        <w:t xml:space="preserve"> and turns </w:t>
      </w:r>
      <w:r>
        <w:rPr>
          <w:b w:val="false"/>
          <w:bCs w:val="false"/>
          <w:szCs w:val="20"/>
          <w:u w:val="single"/>
        </w:rPr>
        <w:t>entirely on relative fault</w:t>
      </w:r>
      <w:r>
        <w:rPr>
          <w:b w:val="false"/>
          <w:bCs w:val="false"/>
          <w:szCs w:val="20"/>
        </w:rPr>
        <w:t>.  (Contrast the federal securities laws, where the term “contribution” generally refers to the judge-created right of one defendant to recover from another on the basis of relative fault—akin to California common law comparative equitable indemnity, not to California statutory contribution.)</w:t>
      </w:r>
    </w:p>
    <w:p>
      <w:pPr>
        <w:pStyle w:val="Heading6"/>
        <w:numPr>
          <w:ilvl w:val="0"/>
          <w:numId w:val="0"/>
        </w:numPr>
        <w:ind w:hanging="720" w:start="1440" w:end="0"/>
        <w:rPr>
          <w:szCs w:val="20"/>
        </w:rPr>
      </w:pPr>
      <w:r>
        <w:rPr>
          <w:szCs w:val="20"/>
        </w:rPr>
        <w:t>A.</w:t>
        <w:tab/>
        <w:t>Statutory Contribution</w:t>
      </w:r>
    </w:p>
    <w:p>
      <w:pPr>
        <w:pStyle w:val="Normal"/>
        <w:spacing w:lineRule="auto" w:line="480"/>
        <w:ind w:start="1440" w:end="0"/>
        <w:rPr/>
      </w:pPr>
      <w:r>
        <w:rPr/>
        <w:t xml:space="preserve">Several California statutes provide for contribution among joint judgment debtors, and/or other persons who are subsequently shown to be liable to the plaintiff, typically based simply on the number of such judgment debtors or liable persons, </w:t>
      </w:r>
      <w:r>
        <w:rPr>
          <w:i/>
          <w:iCs/>
        </w:rPr>
        <w:t xml:space="preserve">i.e., </w:t>
      </w:r>
      <w:r>
        <w:rPr>
          <w:u w:val="single"/>
        </w:rPr>
        <w:t>not</w:t>
      </w:r>
      <w:r>
        <w:rPr/>
        <w:t xml:space="preserve"> based on relative fault.  Many of these statutes provide that such contribution is not available to an intentional wrongdoer from a negligent wrongdoer.</w:t>
      </w:r>
    </w:p>
    <w:p>
      <w:pPr>
        <w:pStyle w:val="BodyTextIndent3"/>
        <w:rPr>
          <w:rFonts w:ascii="Berkeley" w:hAnsi="Berkeley" w:cs="Berkeley"/>
          <w:szCs w:val="24"/>
          <w:u w:val="single"/>
        </w:rPr>
      </w:pPr>
      <w:r>
        <w:rPr>
          <w:rFonts w:cs="Berkeley" w:ascii="Berkeley" w:hAnsi="Berkeley"/>
        </w:rPr>
        <w:t>1.</w:t>
        <w:tab/>
      </w:r>
      <w:r>
        <w:rPr>
          <w:rFonts w:cs="Berkeley" w:ascii="Berkeley" w:hAnsi="Berkeley"/>
          <w:u w:val="single"/>
        </w:rPr>
        <w:t>Claims under the CCSL</w:t>
      </w:r>
    </w:p>
    <w:p>
      <w:pPr>
        <w:pStyle w:val="BodyTextIndent3"/>
        <w:numPr>
          <w:ilvl w:val="0"/>
          <w:numId w:val="4"/>
        </w:numPr>
        <w:rPr>
          <w:rFonts w:ascii="Berkeley" w:hAnsi="Berkeley" w:cs="Berkeley"/>
          <w:szCs w:val="24"/>
        </w:rPr>
      </w:pPr>
      <w:r>
        <w:rPr>
          <w:rFonts w:cs="Berkeley" w:ascii="Berkeley" w:hAnsi="Berkeley"/>
          <w:szCs w:val="24"/>
          <w:u w:val="single"/>
        </w:rPr>
        <w:t>Corp. Code §25505</w:t>
      </w:r>
    </w:p>
    <w:p>
      <w:pPr>
        <w:pStyle w:val="BodyTextIndent3"/>
        <w:ind w:start="3600" w:end="0"/>
        <w:rPr>
          <w:rFonts w:ascii="Berkeley" w:hAnsi="Berkeley" w:cs="Berkeley"/>
          <w:szCs w:val="24"/>
        </w:rPr>
      </w:pPr>
      <w:r>
        <w:rPr>
          <w:rFonts w:cs="Berkeley" w:ascii="Berkeley" w:hAnsi="Berkeley"/>
          <w:szCs w:val="24"/>
        </w:rPr>
        <w:t>This statute provides for contribution among  “all persons liable under [the CCSL] . . . based upon each person’s proportionate share of the total liability . . ..”  A person liable for a willful violation of the CCSL cannot recover statutory contribution from a person liable for a negligent violation of the CCSL.</w:t>
      </w:r>
    </w:p>
    <w:p>
      <w:pPr>
        <w:pStyle w:val="BodyTextIndent3"/>
        <w:tabs>
          <w:tab w:val="clear" w:pos="720"/>
          <w:tab w:val="left" w:pos="2880" w:leader="none"/>
        </w:tabs>
        <w:ind w:start="3600" w:end="0"/>
        <w:rPr/>
      </w:pPr>
      <w:r>
        <w:rPr>
          <w:rFonts w:cs="Berkeley" w:ascii="Berkeley" w:hAnsi="Berkeley"/>
          <w:szCs w:val="24"/>
        </w:rPr>
        <w:t xml:space="preserve">Although no court has interpreted the phrase "proportionate share" in §25505, at least one commentator has stated that “presumably” this statute would result in a pro rata sharing “simply based on the number of persons jointly and severally liable for the same damages.”  Harold Marsh, Jr. &amp; Robert H. Volk, </w:t>
      </w:r>
      <w:r>
        <w:rPr>
          <w:rFonts w:cs="Berkeley" w:ascii="Berkeley" w:hAnsi="Berkeley"/>
          <w:i/>
          <w:iCs/>
          <w:szCs w:val="24"/>
        </w:rPr>
        <w:t>Practice Under the California Securities Law Section</w:t>
      </w:r>
      <w:r>
        <w:rPr>
          <w:rFonts w:cs="Berkeley" w:ascii="Berkeley" w:hAnsi="Berkeley"/>
          <w:szCs w:val="24"/>
        </w:rPr>
        <w:t xml:space="preserve"> 14.07[3] at 14-64 (Lexis Publishing 2000). Similar language in other California statutes has been interpreted as providing, under most circumstances, for </w:t>
      </w:r>
      <w:r>
        <w:rPr>
          <w:rFonts w:cs="Berkeley" w:ascii="Berkeley" w:hAnsi="Berkeley"/>
          <w:szCs w:val="24"/>
          <w:u w:val="single"/>
        </w:rPr>
        <w:t>pro rata</w:t>
      </w:r>
      <w:r>
        <w:rPr>
          <w:rFonts w:cs="Berkeley" w:ascii="Berkeley" w:hAnsi="Berkeley"/>
          <w:szCs w:val="24"/>
        </w:rPr>
        <w:t xml:space="preserve"> contribution, </w:t>
      </w:r>
      <w:r>
        <w:rPr>
          <w:rFonts w:cs="Berkeley" w:ascii="Berkeley" w:hAnsi="Berkeley"/>
          <w:i/>
          <w:iCs/>
          <w:szCs w:val="24"/>
        </w:rPr>
        <w:t>i.e.</w:t>
      </w:r>
      <w:r>
        <w:rPr>
          <w:rFonts w:cs="Berkeley" w:ascii="Berkeley" w:hAnsi="Berkeley"/>
          <w:szCs w:val="24"/>
        </w:rPr>
        <w:t xml:space="preserve">, contribution based on the total number of judgment debtors and/or other liable persons.  </w:t>
      </w:r>
      <w:r>
        <w:rPr>
          <w:rFonts w:cs="Berkeley" w:ascii="Berkeley" w:hAnsi="Berkeley"/>
          <w:i/>
          <w:iCs/>
          <w:szCs w:val="24"/>
        </w:rPr>
        <w:t>See</w:t>
      </w:r>
      <w:r>
        <w:rPr>
          <w:rFonts w:cs="Berkeley" w:ascii="Berkeley" w:hAnsi="Berkeley"/>
          <w:szCs w:val="24"/>
        </w:rPr>
        <w:t xml:space="preserve">, </w:t>
      </w:r>
      <w:r>
        <w:rPr>
          <w:rFonts w:cs="Berkeley" w:ascii="Berkeley" w:hAnsi="Berkeley"/>
          <w:i/>
          <w:iCs/>
          <w:szCs w:val="24"/>
        </w:rPr>
        <w:t>Young</w:t>
      </w:r>
      <w:r>
        <w:rPr>
          <w:rFonts w:cs="Berkeley" w:ascii="Berkeley" w:hAnsi="Berkeley"/>
          <w:szCs w:val="24"/>
        </w:rPr>
        <w:t xml:space="preserve">. </w:t>
      </w:r>
      <w:r>
        <w:rPr>
          <w:rFonts w:cs="Berkeley" w:ascii="Berkeley" w:hAnsi="Berkeley"/>
          <w:i/>
          <w:iCs/>
          <w:szCs w:val="24"/>
        </w:rPr>
        <w:t>v. Rosenthal</w:t>
      </w:r>
      <w:r>
        <w:rPr>
          <w:rFonts w:cs="Berkeley" w:ascii="Berkeley" w:hAnsi="Berkeley"/>
          <w:szCs w:val="24"/>
        </w:rPr>
        <w:t>, 212 Cal. App. 3d 96, 129-30 (Cal. Ct. App. 1989) (finding that ordinarily “due proportion” under CCP Section 882 is calculated on a pro rata basis).</w:t>
      </w:r>
    </w:p>
    <w:p>
      <w:pPr>
        <w:pStyle w:val="BodyTextIndent3"/>
        <w:ind w:start="3600" w:end="0"/>
        <w:rPr/>
      </w:pPr>
      <w:r>
        <w:rPr>
          <w:rFonts w:cs="Berkeley" w:ascii="Berkeley" w:hAnsi="Berkeley"/>
          <w:szCs w:val="24"/>
        </w:rPr>
        <w:t xml:space="preserve">Section 25505 does not refer to judgment debtors and appears not to be limited to judgment debtors.  </w:t>
      </w:r>
      <w:r>
        <w:rPr>
          <w:rFonts w:cs="Berkeley" w:ascii="Berkeley" w:hAnsi="Berkeley"/>
          <w:i/>
          <w:iCs/>
          <w:szCs w:val="24"/>
        </w:rPr>
        <w:t>See,</w:t>
      </w:r>
      <w:r>
        <w:rPr>
          <w:rFonts w:cs="Berkeley" w:ascii="Berkeley" w:hAnsi="Berkeley"/>
          <w:szCs w:val="24"/>
        </w:rPr>
        <w:t xml:space="preserve"> </w:t>
      </w:r>
      <w:r>
        <w:rPr>
          <w:rFonts w:cs="Berkeley" w:ascii="Berkeley" w:hAnsi="Berkeley"/>
          <w:i/>
          <w:iCs/>
          <w:szCs w:val="24"/>
        </w:rPr>
        <w:t>Nelson v. Quimby Island Reclamation Dist. Facilities Corp.</w:t>
      </w:r>
      <w:r>
        <w:rPr>
          <w:rFonts w:cs="Berkeley" w:ascii="Berkeley" w:hAnsi="Berkeley"/>
          <w:szCs w:val="24"/>
        </w:rPr>
        <w:t xml:space="preserve"> 491 F. Supp. 1364, 1383 (N.D. Cal. 1980) (allowing a third party complaint for contribution under Section 25505 against parties not named as defendants in the complaint); 1 Cal. Civ. Prac. Bus. Litig. Section 7:95 (Bancroft-Whitney 1992 &amp; Supp. 1999) (form for complaint by a judgment debtor for contribution under section 25505 from person who was not a party to original action).</w:t>
      </w:r>
    </w:p>
    <w:p>
      <w:pPr>
        <w:pStyle w:val="BodyTextIndent3"/>
        <w:tabs>
          <w:tab w:val="clear" w:pos="720"/>
          <w:tab w:val="left" w:pos="2160" w:leader="none"/>
        </w:tabs>
        <w:ind w:start="2880" w:end="0"/>
        <w:rPr>
          <w:rFonts w:ascii="Berkeley" w:hAnsi="Berkeley" w:cs="Berkeley"/>
          <w:szCs w:val="24"/>
        </w:rPr>
      </w:pPr>
      <w:r>
        <w:rPr>
          <w:rFonts w:eastAsia="Berkeley" w:cs="Berkeley" w:ascii="Berkeley" w:hAnsi="Berkeley"/>
          <w:szCs w:val="24"/>
        </w:rPr>
        <w:t xml:space="preserve"> </w:t>
      </w:r>
      <w:r>
        <w:rPr>
          <w:rFonts w:cs="Berkeley" w:ascii="Berkeley" w:hAnsi="Berkeley"/>
          <w:szCs w:val="24"/>
        </w:rPr>
        <w:t>b.</w:t>
        <w:tab/>
      </w:r>
      <w:r>
        <w:rPr>
          <w:rFonts w:cs="Berkeley" w:ascii="Berkeley" w:hAnsi="Berkeley"/>
          <w:szCs w:val="24"/>
          <w:u w:val="single"/>
        </w:rPr>
        <w:t>CCP §882</w:t>
      </w:r>
    </w:p>
    <w:p>
      <w:pPr>
        <w:pStyle w:val="BodyTextIndent3"/>
        <w:ind w:start="3600" w:end="0"/>
        <w:rPr>
          <w:rFonts w:ascii="Berkeley" w:hAnsi="Berkeley" w:cs="Berkeley"/>
          <w:szCs w:val="24"/>
        </w:rPr>
      </w:pPr>
      <w:r>
        <w:rPr>
          <w:rFonts w:cs="Berkeley" w:ascii="Berkeley" w:hAnsi="Berkeley"/>
          <w:szCs w:val="24"/>
        </w:rPr>
        <w:t>This statute provides for contribution “among joint judgment debtors other than joint tortfeasors,” and requires each judgment debtor to bear his or her “due proportion” of the judgment.  CCP Sections 881 &amp; 882.  CCP §883(c) provides that CCP §882 is an additional contribution remedy, not an exclusive one.</w:t>
      </w:r>
    </w:p>
    <w:p>
      <w:pPr>
        <w:pStyle w:val="BodyTextIndent3"/>
        <w:ind w:start="3600" w:end="0"/>
        <w:rPr/>
      </w:pPr>
      <w:r>
        <w:rPr>
          <w:rFonts w:cs="Berkeley" w:ascii="Berkeley" w:hAnsi="Berkeley"/>
        </w:rPr>
        <w:t xml:space="preserve">On its face, §882 would appear to apply to joint judgment debtors in a case under the CCSL, but one federal court has held that the legislature intended §25505,and not the contribution provisions of the Code of Civil Procedure,to govern actions under the CCSL.  </w:t>
      </w:r>
      <w:r>
        <w:rPr>
          <w:rFonts w:cs="Berkeley" w:ascii="Berkeley" w:hAnsi="Berkeley"/>
          <w:i/>
          <w:iCs/>
        </w:rPr>
        <w:t>Harrison v. Sheats</w:t>
      </w:r>
      <w:r>
        <w:rPr>
          <w:rFonts w:cs="Berkeley" w:ascii="Berkeley" w:hAnsi="Berkeley"/>
        </w:rPr>
        <w:t>, 608 F. Supp. 502, 505-506 (E.D. Cal. 1985).</w:t>
      </w:r>
      <w:r>
        <w:rPr>
          <w:rFonts w:cs="Berkeley" w:ascii="Berkeley" w:hAnsi="Berkeley"/>
          <w:szCs w:val="24"/>
        </w:rPr>
        <w:t xml:space="preserve"> </w:t>
      </w:r>
    </w:p>
    <w:p>
      <w:pPr>
        <w:pStyle w:val="BodyTextIndent3"/>
        <w:rPr/>
      </w:pPr>
      <w:r>
        <w:rPr>
          <w:rFonts w:cs="Berkeley" w:ascii="Berkeley" w:hAnsi="Berkeley"/>
        </w:rPr>
        <w:t>2.</w:t>
        <w:tab/>
      </w:r>
      <w:r>
        <w:rPr>
          <w:rFonts w:cs="Berkeley" w:ascii="Berkeley" w:hAnsi="Berkeley"/>
          <w:u w:val="single"/>
        </w:rPr>
        <w:t>Common Law Tort Claims</w:t>
      </w:r>
    </w:p>
    <w:p>
      <w:pPr>
        <w:pStyle w:val="Normal"/>
        <w:spacing w:lineRule="auto" w:line="480"/>
        <w:ind w:start="2160" w:end="0"/>
        <w:rPr/>
      </w:pPr>
      <w:r>
        <w:rPr/>
        <w:t xml:space="preserve">Code of Civil Procedure §875 provides for </w:t>
      </w:r>
      <w:r>
        <w:rPr>
          <w:u w:val="single"/>
        </w:rPr>
        <w:t>pro rata</w:t>
      </w:r>
      <w:r>
        <w:rPr/>
        <w:t xml:space="preserve"> contribution among joint tort judgment debtors.  </w:t>
      </w:r>
      <w:r>
        <w:rPr>
          <w:u w:val="single"/>
        </w:rPr>
        <w:t>See</w:t>
      </w:r>
      <w:r>
        <w:rPr/>
        <w:t xml:space="preserve"> also CCP §876.</w:t>
      </w:r>
    </w:p>
    <w:p>
      <w:pPr>
        <w:pStyle w:val="Heading3"/>
        <w:numPr>
          <w:ilvl w:val="1"/>
          <w:numId w:val="6"/>
        </w:numPr>
        <w:tabs>
          <w:tab w:val="clear" w:pos="720"/>
          <w:tab w:val="left" w:pos="1440" w:leader="none"/>
        </w:tabs>
        <w:spacing w:lineRule="auto" w:line="480"/>
        <w:ind w:hanging="720" w:start="1440" w:end="0"/>
        <w:rPr>
          <w:rFonts w:ascii="Berkeley" w:hAnsi="Berkeley" w:cs="Berkeley"/>
          <w:sz w:val="24"/>
        </w:rPr>
      </w:pPr>
      <w:r>
        <w:rPr>
          <w:rFonts w:cs="Berkeley" w:ascii="Berkeley" w:hAnsi="Berkeley"/>
          <w:sz w:val="24"/>
        </w:rPr>
        <w:t>Common Law Comparative Equitable Indemnity</w:t>
      </w:r>
    </w:p>
    <w:p>
      <w:pPr>
        <w:pStyle w:val="Normal"/>
        <w:spacing w:lineRule="auto" w:line="480"/>
        <w:ind w:start="1440" w:end="0"/>
        <w:rPr/>
      </w:pPr>
      <w:r>
        <w:rPr/>
        <w:t xml:space="preserve">Since 1978, California common law has provided for comparative equitable indemnity among joint tortfeasors, </w:t>
      </w:r>
      <w:r>
        <w:rPr>
          <w:u w:val="single"/>
        </w:rPr>
        <w:t>whether or not previously adjudged liable to plaintiff</w:t>
      </w:r>
      <w:r>
        <w:rPr/>
        <w:t xml:space="preserve">, based on relative fault, </w:t>
      </w:r>
      <w:r>
        <w:rPr>
          <w:u w:val="single"/>
        </w:rPr>
        <w:t>not</w:t>
      </w:r>
      <w:r>
        <w:rPr/>
        <w:t xml:space="preserve"> on the number of judgment debtors or persons liable to the plaintiff.  </w:t>
      </w:r>
      <w:r>
        <w:rPr>
          <w:i/>
          <w:iCs/>
        </w:rPr>
        <w:t>American Motorcycle Assoc. v. Superior Court</w:t>
      </w:r>
      <w:r>
        <w:rPr/>
        <w:t xml:space="preserve">, 20 Cal.3d 578 (Cal. 1978).  Even an intentional tortfeasor may recover comparative equitable indemnity from another intentional tortfeasor or from a negligent tortfeasor.  </w:t>
      </w:r>
      <w:r>
        <w:rPr>
          <w:i/>
          <w:iCs/>
        </w:rPr>
        <w:t>Baird v. Jones</w:t>
      </w:r>
      <w:r>
        <w:rPr/>
        <w:t>, 21 Cal. App. 45h 684, 690-92 (Cal. Ct. App. 1994) (holding that comparative equitable indemnity principles apply to intentional tortfeasors and citing cases holding that the doctrine also applies to cases involving both negligent and willful or intentional misconduct).</w:t>
      </w:r>
    </w:p>
    <w:p>
      <w:pPr>
        <w:pStyle w:val="Normal"/>
        <w:spacing w:lineRule="auto" w:line="480"/>
        <w:ind w:start="1440" w:end="0"/>
        <w:rPr/>
      </w:pPr>
      <w:r>
        <w:rPr/>
        <w:t>1.</w:t>
        <w:tab/>
      </w:r>
      <w:r>
        <w:rPr>
          <w:u w:val="single"/>
        </w:rPr>
        <w:t>Claims Under The CCSL</w:t>
      </w:r>
    </w:p>
    <w:p>
      <w:pPr>
        <w:pStyle w:val="Normal"/>
        <w:spacing w:lineRule="auto" w:line="480"/>
        <w:ind w:start="2160" w:end="0"/>
        <w:rPr/>
      </w:pPr>
      <w:r>
        <w:rPr/>
        <w:t xml:space="preserve">Common law comparative equitable indemnity is probably </w:t>
      </w:r>
      <w:r>
        <w:rPr>
          <w:u w:val="single"/>
        </w:rPr>
        <w:t>not</w:t>
      </w:r>
      <w:r>
        <w:rPr/>
        <w:t xml:space="preserve"> available with respect to claims under the CCSL.  Violation of a statute with an express civil remedy is arguably not a “tort;” and the only case on point, a federal case, held with little analysis that comparative equitable indemnity principles do not apply to actions brought under the CCSL, because §25505 provides its “own system” for allocating responsibility among multiple wrongdoers.  </w:t>
      </w:r>
      <w:r>
        <w:rPr>
          <w:i/>
          <w:iCs/>
        </w:rPr>
        <w:t>Employers Ins. of Wausau v. Musick, Peeler, &amp; Garrett</w:t>
      </w:r>
      <w:r>
        <w:rPr/>
        <w:t xml:space="preserve">, 948 F. Supp. 942, 944-45 (S.D. Cal. 1995).  However, given the trend in federal and state courts in securities and other cases to move toward allocation of liability based on relative fault, it is possible that a California court might ignore the result in the </w:t>
      </w:r>
      <w:r>
        <w:rPr>
          <w:i/>
          <w:iCs/>
        </w:rPr>
        <w:t>Musick</w:t>
      </w:r>
      <w:r>
        <w:rPr/>
        <w:t xml:space="preserve"> case and apply the principles of comparative equitable indemnity to actions under the CCSL or find some other way to allocate responsibility based on fault, </w:t>
      </w:r>
      <w:r>
        <w:rPr>
          <w:i/>
          <w:iCs/>
        </w:rPr>
        <w:t>e.g</w:t>
      </w:r>
      <w:r>
        <w:rPr/>
        <w:t xml:space="preserve">. by interpreting the reference to “proportionate share” in Section 25505 as referring to relative fault.  Again, there are no California state court cases addressing these issues. </w:t>
      </w:r>
    </w:p>
    <w:p>
      <w:pPr>
        <w:pStyle w:val="Normal"/>
        <w:spacing w:lineRule="auto" w:line="480"/>
        <w:ind w:hanging="720" w:start="2160" w:end="0"/>
        <w:rPr/>
      </w:pPr>
      <w:r>
        <w:rPr/>
        <w:t>2.</w:t>
        <w:tab/>
      </w:r>
      <w:r>
        <w:rPr>
          <w:u w:val="single"/>
        </w:rPr>
        <w:t>Common Law Tort Claims</w:t>
      </w:r>
    </w:p>
    <w:p>
      <w:pPr>
        <w:pStyle w:val="Normal"/>
        <w:spacing w:lineRule="auto" w:line="480"/>
        <w:ind w:start="2160" w:end="0"/>
        <w:rPr>
          <w:b/>
          <w:bCs/>
        </w:rPr>
      </w:pPr>
      <w:r>
        <w:rPr/>
        <w:t xml:space="preserve">Common law comparative equitable indemnity is available to any judgment debtor or settling defendant in any “tort” case.   </w:t>
      </w:r>
      <w:r>
        <w:rPr>
          <w:i/>
          <w:iCs/>
        </w:rPr>
        <w:t>American Motorcycle, supra</w:t>
      </w:r>
      <w:r>
        <w:rPr/>
        <w:t xml:space="preserve">.  Where the comparative equitable indemnity (relative fault) result conflicts with the </w:t>
      </w:r>
      <w:r>
        <w:rPr>
          <w:u w:val="single"/>
        </w:rPr>
        <w:t>pro rata</w:t>
      </w:r>
      <w:r>
        <w:rPr/>
        <w:t xml:space="preserve"> contribution result under CCP </w:t>
      </w:r>
      <w:r>
        <w:rPr>
          <w:szCs w:val="24"/>
        </w:rPr>
        <w:t>§875</w:t>
      </w:r>
      <w:r>
        <w:rPr/>
        <w:t xml:space="preserve"> the comparative equitable indemnity result prevails.   </w:t>
      </w:r>
      <w:r>
        <w:rPr>
          <w:i/>
          <w:iCs/>
        </w:rPr>
        <w:t>American Motorcycle Assn. v. Superior Court</w:t>
      </w:r>
      <w:r>
        <w:rPr/>
        <w:t>, 20 Cal.3d at 602 (finding that the right to contribution under Section 875 is “subordinate” to the right to comparative equitable indemnity.)</w:t>
      </w:r>
    </w:p>
    <w:p>
      <w:pPr>
        <w:pStyle w:val="BodyTextIndent2"/>
        <w:numPr>
          <w:ilvl w:val="1"/>
          <w:numId w:val="6"/>
        </w:numPr>
        <w:tabs>
          <w:tab w:val="clear" w:pos="720"/>
          <w:tab w:val="left" w:pos="0" w:leader="none"/>
        </w:tabs>
        <w:ind w:hanging="720" w:start="1440" w:end="0"/>
        <w:rPr/>
      </w:pPr>
      <w:r>
        <w:rPr/>
        <w:t>Interaction Between Statutory Contribution And Common Law Comparative Equitable Indemnity With Respect To Different Claims In The Same Case</w:t>
      </w:r>
    </w:p>
    <w:p>
      <w:pPr>
        <w:pStyle w:val="BodyTextIndent2"/>
        <w:ind w:hanging="0" w:end="0"/>
        <w:rPr/>
      </w:pPr>
      <w:r>
        <w:rPr>
          <w:b w:val="false"/>
          <w:bCs w:val="false"/>
        </w:rPr>
        <w:t xml:space="preserve">The </w:t>
      </w:r>
      <w:r>
        <w:rPr>
          <w:b w:val="false"/>
          <w:bCs w:val="false"/>
          <w:u w:val="single"/>
        </w:rPr>
        <w:t>Farallon</w:t>
      </w:r>
      <w:r>
        <w:rPr>
          <w:b w:val="false"/>
          <w:bCs w:val="false"/>
        </w:rPr>
        <w:t xml:space="preserve"> case presents a very complicated question, because it includes both claims under the CCSL and common law tort claims.  If the jury were to render a joint and several judgment against several defendants on both the CCSL claims and the common law tort claims in that case, all compensating for the same loss, and if a court were to hold that statutory contribution were the only remedy available to a joint judgment debtor on claims under the CCSL but that comparative equitable indemnity was available to that same joint judgment debtor on plaintiff’s common law tort claims, there is no precedent indicating which remedy a judgment debtor would ultimately be able to enforce.  Given California’s strong preference for allocation of liability on the basis for relative fault, that might be the ultimate result; but no one could be sure at this point.  (In </w:t>
      </w:r>
      <w:r>
        <w:rPr>
          <w:b w:val="false"/>
          <w:bCs w:val="false"/>
          <w:u w:val="single"/>
        </w:rPr>
        <w:t>Legg Mason</w:t>
      </w:r>
      <w:r>
        <w:rPr>
          <w:b w:val="false"/>
          <w:bCs w:val="false"/>
        </w:rPr>
        <w:t xml:space="preserve"> by contrast the only claims against Enron are brought under the CCSL, where comparative equitable indemnity may well not be available at all.)</w:t>
      </w:r>
    </w:p>
    <w:p>
      <w:pPr>
        <w:pStyle w:val="BodyTextIndent2"/>
        <w:numPr>
          <w:ilvl w:val="0"/>
          <w:numId w:val="5"/>
        </w:numPr>
        <w:rPr/>
      </w:pPr>
      <w:r>
        <w:rPr/>
        <w:t>ENFORCEMENT PROCEDURES</w:t>
      </w:r>
    </w:p>
    <w:p>
      <w:pPr>
        <w:pStyle w:val="Heading3"/>
        <w:spacing w:lineRule="auto" w:line="480"/>
        <w:ind w:hanging="720" w:start="1440" w:end="0"/>
        <w:rPr>
          <w:rFonts w:ascii="Berkeley" w:hAnsi="Berkeley" w:cs="Berkeley"/>
          <w:sz w:val="24"/>
        </w:rPr>
      </w:pPr>
      <w:r>
        <w:rPr>
          <w:rFonts w:cs="Berkeley" w:ascii="Berkeley" w:hAnsi="Berkeley"/>
          <w:sz w:val="24"/>
        </w:rPr>
        <w:t>A.</w:t>
        <w:tab/>
        <w:t>Statutory Contribution Under Corp. Code §25505</w:t>
      </w:r>
    </w:p>
    <w:p>
      <w:pPr>
        <w:pStyle w:val="Normal"/>
        <w:spacing w:lineRule="auto" w:line="480" w:before="240" w:after="0"/>
        <w:ind w:start="1440" w:end="0"/>
        <w:rPr/>
      </w:pPr>
      <w:r>
        <w:rPr/>
        <w:t xml:space="preserve">Contribution under Corp. Code §25505 can be enforced by cross-complaint in the same case, </w:t>
      </w:r>
      <w:r>
        <w:rPr>
          <w:i/>
          <w:iCs/>
        </w:rPr>
        <w:t>Nelson v. Quimby Island Reclamation Dist. Facilities Corp.</w:t>
      </w:r>
      <w:r>
        <w:rPr/>
        <w:t xml:space="preserve">, 491 F. Supp. at 1383, or by commencing a new action after paying the plaintiff.  Corp. Code §25508.  Contribution under §25505 may also be available against other joint judgment debtors by post-trial motion in the same case; although there is no express statutory authority for such a motion.   </w:t>
      </w:r>
      <w:r>
        <w:rPr>
          <w:i/>
          <w:iCs/>
        </w:rPr>
        <w:t>See</w:t>
      </w:r>
      <w:r>
        <w:rPr/>
        <w:t>, 1 Cal. Civ. Prac. Bus. Litig. Section 7:96 (setting forth a form of motion to determine liability for contribution under Corp. Code Section 25505 from a codefendant)</w:t>
      </w:r>
    </w:p>
    <w:p>
      <w:pPr>
        <w:pStyle w:val="Heading3"/>
        <w:spacing w:lineRule="auto" w:line="480"/>
        <w:ind w:hanging="720" w:start="1440" w:end="0"/>
        <w:rPr>
          <w:rFonts w:ascii="Berkeley" w:hAnsi="Berkeley" w:cs="Berkeley"/>
          <w:sz w:val="24"/>
        </w:rPr>
      </w:pPr>
      <w:r>
        <w:rPr>
          <w:rFonts w:cs="Berkeley" w:ascii="Berkeley" w:hAnsi="Berkeley"/>
          <w:sz w:val="24"/>
        </w:rPr>
        <w:t>B.</w:t>
        <w:tab/>
        <w:t>Statutory Contribution Under CCP §§875 and 882</w:t>
      </w:r>
    </w:p>
    <w:p>
      <w:pPr>
        <w:pStyle w:val="BodyTextIndent"/>
        <w:ind w:hanging="0" w:end="0"/>
        <w:rPr>
          <w:rFonts w:ascii="Berkeley" w:hAnsi="Berkeley" w:cs="Berkeley"/>
        </w:rPr>
      </w:pPr>
      <w:r>
        <w:rPr>
          <w:rFonts w:cs="Berkeley" w:ascii="Berkeley" w:hAnsi="Berkeley"/>
        </w:rPr>
        <w:t>Contribution among joint judgment debtors under CCP §§875 and 882 is enforced after judgment by post-trial motion in the same case.  CCP §§878 and 883(a).</w:t>
      </w:r>
    </w:p>
    <w:p>
      <w:pPr>
        <w:pStyle w:val="Heading3"/>
        <w:spacing w:lineRule="auto" w:line="480"/>
        <w:ind w:hanging="720" w:start="1440" w:end="0"/>
        <w:rPr>
          <w:rFonts w:ascii="Berkeley" w:hAnsi="Berkeley" w:cs="Berkeley"/>
          <w:sz w:val="24"/>
        </w:rPr>
      </w:pPr>
      <w:r>
        <w:rPr>
          <w:rFonts w:cs="Berkeley" w:ascii="Berkeley" w:hAnsi="Berkeley"/>
          <w:sz w:val="24"/>
        </w:rPr>
        <w:t>C.</w:t>
        <w:tab/>
        <w:t>Common Law Comparative Equitable Indemnity</w:t>
      </w:r>
    </w:p>
    <w:p>
      <w:pPr>
        <w:pStyle w:val="BodyTextIndent"/>
        <w:ind w:hanging="0" w:end="0"/>
        <w:rPr/>
      </w:pPr>
      <w:r>
        <w:rPr>
          <w:rFonts w:cs="Berkeley" w:ascii="Berkeley" w:hAnsi="Berkeley"/>
        </w:rPr>
        <w:t xml:space="preserve">Common law comparative equitable indemnity is enforced by cross-complaint in the same case, </w:t>
      </w:r>
      <w:r>
        <w:rPr>
          <w:rFonts w:cs="Berkeley" w:ascii="Berkeley" w:hAnsi="Berkeley"/>
          <w:i/>
          <w:iCs/>
        </w:rPr>
        <w:t>American Motorcycle</w:t>
      </w:r>
      <w:r>
        <w:rPr>
          <w:rFonts w:cs="Berkeley" w:ascii="Berkeley" w:hAnsi="Berkeley"/>
        </w:rPr>
        <w:t xml:space="preserve">, 20 Cal.3d at 604-07, or by commencing a new action after paying the plaintiff.  </w:t>
      </w:r>
      <w:r>
        <w:rPr>
          <w:rFonts w:cs="Berkeley" w:ascii="Berkeley" w:hAnsi="Berkeley"/>
          <w:i/>
          <w:iCs/>
        </w:rPr>
        <w:t>Teachers Ins. Co. v. Smith</w:t>
      </w:r>
      <w:r>
        <w:rPr>
          <w:rFonts w:cs="Berkeley" w:ascii="Berkeley" w:hAnsi="Berkeley"/>
        </w:rPr>
        <w:t>, 128 Cal.App.3d 862, 865 (1982).  This remedy is not available by post-trial motion in the same case.</w:t>
      </w:r>
    </w:p>
    <w:p>
      <w:pPr>
        <w:pStyle w:val="Heading3"/>
        <w:spacing w:lineRule="auto" w:line="480"/>
        <w:ind w:hanging="720" w:start="1440" w:end="0"/>
        <w:rPr>
          <w:rFonts w:ascii="Berkeley" w:hAnsi="Berkeley" w:cs="Berkeley"/>
          <w:sz w:val="24"/>
        </w:rPr>
      </w:pPr>
      <w:r>
        <w:rPr>
          <w:rFonts w:cs="Berkeley" w:ascii="Berkeley" w:hAnsi="Berkeley"/>
          <w:sz w:val="24"/>
        </w:rPr>
        <w:t>D.</w:t>
        <w:tab/>
        <w:t>Comment</w:t>
      </w:r>
    </w:p>
    <w:p>
      <w:pPr>
        <w:pStyle w:val="BodyTextIndent"/>
        <w:ind w:hanging="0" w:end="0"/>
        <w:rPr/>
      </w:pPr>
      <w:r>
        <w:rPr>
          <w:rFonts w:cs="Berkeley" w:ascii="Berkeley" w:hAnsi="Berkeley"/>
        </w:rPr>
        <w:t xml:space="preserve">Absent a cross-complaint for comparative equitable indemnity pending in a case at the time of trial, the jury has no reason to determine the relative fault of multiple defendants against whom it renders a joint verdict.  </w:t>
      </w:r>
      <w:r>
        <w:rPr>
          <w:rFonts w:cs="Berkeley" w:ascii="Berkeley" w:hAnsi="Berkeley"/>
          <w:u w:val="single"/>
        </w:rPr>
        <w:t>See</w:t>
      </w:r>
      <w:r>
        <w:rPr>
          <w:rFonts w:cs="Berkeley" w:ascii="Berkeley" w:hAnsi="Berkeley"/>
        </w:rPr>
        <w:t xml:space="preserve"> </w:t>
      </w:r>
      <w:r>
        <w:rPr>
          <w:rFonts w:cs="Berkeley" w:ascii="Berkeley" w:hAnsi="Berkeley"/>
          <w:i/>
          <w:iCs/>
        </w:rPr>
        <w:t>Klemme v. Hoag Memoral Hospital Presbyterian</w:t>
      </w:r>
      <w:r>
        <w:rPr>
          <w:rFonts w:cs="Berkeley" w:ascii="Berkeley" w:hAnsi="Berkeley"/>
        </w:rPr>
        <w:t>, 103 Cal.App. 3d 640 (1980) (holding trial court erred in granting request of plaintiff for allocation of fault among defendants where defendants had not chosen to litigate that issue in the main case.)</w:t>
      </w:r>
    </w:p>
    <w:p>
      <w:pPr>
        <w:pStyle w:val="BodyTextIndent"/>
        <w:numPr>
          <w:ilvl w:val="0"/>
          <w:numId w:val="5"/>
        </w:numPr>
        <w:tabs>
          <w:tab w:val="left" w:pos="720" w:leader="none"/>
        </w:tabs>
        <w:ind w:hanging="720" w:start="720" w:end="0"/>
        <w:rPr>
          <w:rFonts w:ascii="Berkeley" w:hAnsi="Berkeley" w:cs="Berkeley"/>
          <w:b/>
          <w:bCs/>
        </w:rPr>
      </w:pPr>
      <w:r>
        <w:rPr>
          <w:rFonts w:cs="Berkeley" w:ascii="Berkeley" w:hAnsi="Berkeley"/>
          <w:b/>
          <w:bCs/>
        </w:rPr>
        <w:t>EFFECT OF PRE-TRIAL SETTLEMENT IN GOOD FAITH</w:t>
      </w:r>
    </w:p>
    <w:p>
      <w:pPr>
        <w:pStyle w:val="BodyTextIndent"/>
        <w:rPr/>
      </w:pPr>
      <w:r>
        <w:rPr>
          <w:rFonts w:cs="Berkeley" w:ascii="Berkeley" w:hAnsi="Berkeley"/>
        </w:rPr>
        <w:t xml:space="preserve">CCP §§877 and 877.6 provide for the extinguishment of rights of contribution and comparative equitable indemnity, respectively, against a defendant who settles with plaintiff pre-trial in “good faith,” and §877.6 includes a provision for a pre-trial determination, on motion supported by written evidence, whether a proposed settlement is in fact in good faith.  For a solvent defendant, the good faith determination will turn primarily on whether the defendant is paying an amount reasonably related to its share, if any, of the total liability to plaintiff based on the relative fault of the settling defendant and other persons potentially liable to plaintiff.  </w:t>
      </w:r>
      <w:r>
        <w:rPr>
          <w:rFonts w:cs="Berkeley" w:ascii="Berkeley" w:hAnsi="Berkeley"/>
          <w:u w:val="single"/>
        </w:rPr>
        <w:t>See</w:t>
      </w:r>
      <w:r>
        <w:rPr>
          <w:rFonts w:cs="Berkeley" w:ascii="Berkeley" w:hAnsi="Berkeley"/>
        </w:rPr>
        <w:t xml:space="preserve">, </w:t>
      </w:r>
      <w:r>
        <w:rPr>
          <w:rFonts w:cs="Berkeley" w:ascii="Berkeley" w:hAnsi="Berkeley"/>
          <w:i/>
          <w:iCs/>
        </w:rPr>
        <w:t>e.g</w:t>
      </w:r>
      <w:r>
        <w:rPr>
          <w:rFonts w:cs="Berkeley" w:ascii="Berkeley" w:hAnsi="Berkeley"/>
        </w:rPr>
        <w:t xml:space="preserve">., </w:t>
      </w:r>
      <w:r>
        <w:rPr>
          <w:rFonts w:cs="Berkeley" w:ascii="Berkeley" w:hAnsi="Berkeley"/>
          <w:i/>
          <w:iCs/>
        </w:rPr>
        <w:t>Tech-Bilt, Inc. v. Woodward-Clyde &amp; Associates</w:t>
      </w:r>
      <w:r>
        <w:rPr>
          <w:rFonts w:cs="Berkeley" w:ascii="Berkeley" w:hAnsi="Berkeley"/>
        </w:rPr>
        <w:t>, 38 Cal.3d 488 (Cal. 1985).</w:t>
      </w:r>
    </w:p>
    <w:p>
      <w:pPr>
        <w:pStyle w:val="Header"/>
        <w:tabs>
          <w:tab w:val="clear" w:pos="4320"/>
          <w:tab w:val="clear" w:pos="8640"/>
        </w:tabs>
        <w:spacing w:lineRule="auto" w:line="480"/>
        <w:ind w:hanging="720" w:start="1440" w:end="0"/>
        <w:rPr/>
      </w:pPr>
      <w:r>
        <w:rPr/>
        <w:t xml:space="preserve">Two federal cases have considered whether CCP §§877 and 877.6 apply to extinguish the statutory contribution provided by Corp. Code §25505 if there is a pre-trial settlement in good faith of a claim under the CCSL, and these two cases reached precisely opposite conclusions.  </w:t>
      </w:r>
      <w:r>
        <w:rPr>
          <w:i/>
          <w:iCs/>
        </w:rPr>
        <w:t>Harrison v. Sheats</w:t>
      </w:r>
      <w:r>
        <w:rPr/>
        <w:t xml:space="preserve">, 608 F. Supp. at 505-506 (finding that the “good faith” settlement provsions of the CCP did not apply to actions under the CCSL); </w:t>
      </w:r>
      <w:r>
        <w:rPr>
          <w:i/>
          <w:iCs/>
        </w:rPr>
        <w:t>In re Nucorp Energy Securities Litigation</w:t>
      </w:r>
      <w:r>
        <w:rPr/>
        <w:t xml:space="preserve">, 661 F. Supp 1403, 1411(S.D. Cal. 1987) (finding that Sections 877 and 877.6 did apply to actions under the CCSL and expressly declining to adopt the holding of </w:t>
      </w:r>
      <w:r>
        <w:rPr>
          <w:u w:val="single"/>
        </w:rPr>
        <w:t>Harrison</w:t>
      </w:r>
      <w:r>
        <w:rPr/>
        <w:t xml:space="preserve">, stating that the reasoning of the </w:t>
      </w:r>
      <w:r>
        <w:rPr>
          <w:u w:val="single"/>
        </w:rPr>
        <w:t>Harrison</w:t>
      </w:r>
      <w:r>
        <w:rPr/>
        <w:t xml:space="preserve"> court was “unpersuasive”).     </w:t>
      </w:r>
    </w:p>
    <w:p>
      <w:pPr>
        <w:pStyle w:val="BodyTextIndent"/>
        <w:ind w:start="720" w:end="0"/>
        <w:rPr/>
      </w:pPr>
      <w:r>
        <w:rPr>
          <w:rFonts w:cs="Berkeley" w:ascii="Berkeley" w:hAnsi="Berkeley"/>
          <w:b/>
          <w:bCs/>
        </w:rPr>
        <w:t>IV.</w:t>
        <w:tab/>
        <w:t xml:space="preserve">POTENTIAL OUTCOMES FOR ENRON IN THE </w:t>
      </w:r>
      <w:r>
        <w:rPr>
          <w:rFonts w:cs="Berkeley" w:ascii="Berkeley" w:hAnsi="Berkeley"/>
          <w:b/>
          <w:bCs/>
          <w:u w:val="single"/>
        </w:rPr>
        <w:t>FARALLON</w:t>
      </w:r>
      <w:r>
        <w:rPr>
          <w:rFonts w:cs="Berkeley" w:ascii="Berkeley" w:hAnsi="Berkeley"/>
          <w:b/>
          <w:bCs/>
        </w:rPr>
        <w:t xml:space="preserve"> AND </w:t>
      </w:r>
      <w:r>
        <w:rPr>
          <w:rFonts w:cs="Berkeley" w:ascii="Berkeley" w:hAnsi="Berkeley"/>
          <w:b/>
          <w:bCs/>
          <w:u w:val="single"/>
        </w:rPr>
        <w:t>LEGG MASON</w:t>
      </w:r>
      <w:r>
        <w:rPr>
          <w:rFonts w:cs="Berkeley" w:ascii="Berkeley" w:hAnsi="Berkeley"/>
          <w:b/>
          <w:bCs/>
        </w:rPr>
        <w:t xml:space="preserve"> CASES</w:t>
      </w:r>
    </w:p>
    <w:p>
      <w:pPr>
        <w:pStyle w:val="Heading1"/>
        <w:numPr>
          <w:ilvl w:val="0"/>
          <w:numId w:val="3"/>
        </w:numPr>
        <w:rPr>
          <w:rFonts w:ascii="Berkeley" w:hAnsi="Berkeley" w:cs="Berkeley"/>
          <w:b/>
          <w:bCs/>
        </w:rPr>
      </w:pPr>
      <w:r>
        <w:rPr>
          <w:rFonts w:cs="Berkeley" w:ascii="Berkeley" w:hAnsi="Berkeley"/>
          <w:b/>
          <w:bCs/>
        </w:rPr>
        <w:t>If Enron goes To Trial:</w:t>
      </w:r>
    </w:p>
    <w:p>
      <w:pPr>
        <w:pStyle w:val="Heading1"/>
        <w:numPr>
          <w:ilvl w:val="1"/>
          <w:numId w:val="3"/>
        </w:numPr>
        <w:tabs>
          <w:tab w:val="clear" w:pos="720"/>
          <w:tab w:val="left" w:pos="3240" w:leader="none"/>
        </w:tabs>
        <w:ind w:hanging="720" w:start="2160" w:end="0"/>
        <w:rPr>
          <w:rFonts w:ascii="Berkeley" w:hAnsi="Berkeley" w:cs="Berkeley"/>
          <w:u w:val="single"/>
        </w:rPr>
      </w:pPr>
      <w:r>
        <w:rPr>
          <w:rFonts w:cs="Berkeley" w:ascii="Berkeley" w:hAnsi="Berkeley"/>
          <w:u w:val="single"/>
        </w:rPr>
        <w:t>If Enron Wins At Trial</w:t>
      </w:r>
      <w:r>
        <w:rPr>
          <w:rFonts w:cs="Berkeley" w:ascii="Berkeley" w:hAnsi="Berkeley"/>
        </w:rPr>
        <w:t>:</w:t>
      </w:r>
    </w:p>
    <w:p>
      <w:pPr>
        <w:pStyle w:val="Normal"/>
        <w:spacing w:lineRule="auto" w:line="480"/>
        <w:ind w:start="2160" w:end="0"/>
        <w:rPr/>
      </w:pPr>
      <w:r>
        <w:rPr/>
        <w:t>Enron pays nothing to the plaintiff, and all rights of other defendants (or other persons) to seek any recovery from Enron for their liability to the plaintiffs are cut off</w:t>
      </w:r>
    </w:p>
    <w:p>
      <w:pPr>
        <w:pStyle w:val="Normal"/>
        <w:spacing w:lineRule="auto" w:line="480"/>
        <w:ind w:hanging="720" w:start="2160" w:end="0"/>
        <w:rPr/>
      </w:pPr>
      <w:r>
        <w:rPr/>
        <w:t>2.</w:t>
        <w:tab/>
      </w:r>
      <w:r>
        <w:rPr>
          <w:u w:val="single"/>
        </w:rPr>
        <w:t>If Enron Loses At Trial</w:t>
      </w:r>
      <w:r>
        <w:rPr/>
        <w:t>:</w:t>
      </w:r>
    </w:p>
    <w:p>
      <w:pPr>
        <w:pStyle w:val="BodyTextIndent"/>
        <w:ind w:hanging="0" w:start="2160" w:end="0"/>
        <w:rPr>
          <w:rFonts w:ascii="Berkeley" w:hAnsi="Berkeley" w:cs="Berkeley"/>
        </w:rPr>
      </w:pPr>
      <w:r>
        <w:rPr>
          <w:rFonts w:cs="Berkeley" w:ascii="Berkeley" w:hAnsi="Berkeley"/>
        </w:rPr>
        <w:t>A joint and several judgment will be entered against Enron and (almost surely) four other defendants; plaintiffs may seek to collect the entire judgment from any one or more defendants.</w:t>
      </w:r>
    </w:p>
    <w:p>
      <w:pPr>
        <w:pStyle w:val="BodyTextIndent"/>
        <w:ind w:start="2880" w:end="0"/>
        <w:rPr/>
      </w:pPr>
      <w:r>
        <w:rPr>
          <w:rFonts w:cs="Berkeley" w:ascii="Berkeley" w:hAnsi="Berkeley"/>
        </w:rPr>
        <w:t>a.</w:t>
        <w:tab/>
      </w:r>
      <w:r>
        <w:rPr>
          <w:rFonts w:cs="Berkeley" w:ascii="Berkeley" w:hAnsi="Berkeley"/>
          <w:u w:val="single"/>
        </w:rPr>
        <w:t>If no defendant has filed a pre-trial cross-complaint to require the jury to determine relative fault at trial</w:t>
      </w:r>
      <w:r>
        <w:rPr>
          <w:rFonts w:cs="Berkeley" w:ascii="Berkeley" w:hAnsi="Berkeley"/>
        </w:rPr>
        <w:t>:</w:t>
      </w:r>
    </w:p>
    <w:p>
      <w:pPr>
        <w:pStyle w:val="BodyTextIndent3"/>
        <w:ind w:start="3600" w:end="0"/>
        <w:rPr/>
      </w:pPr>
      <w:r>
        <w:rPr>
          <w:rFonts w:cs="Berkeley" w:ascii="Berkeley" w:hAnsi="Berkeley"/>
        </w:rPr>
        <w:t xml:space="preserve">On the CCSL claims (in both the </w:t>
      </w:r>
      <w:r>
        <w:rPr>
          <w:rFonts w:cs="Berkeley" w:ascii="Berkeley" w:hAnsi="Berkeley"/>
          <w:u w:val="single"/>
        </w:rPr>
        <w:t xml:space="preserve">Farallon </w:t>
      </w:r>
      <w:r>
        <w:rPr>
          <w:rFonts w:cs="Berkeley" w:ascii="Berkeley" w:hAnsi="Berkeley"/>
        </w:rPr>
        <w:t xml:space="preserve">and  </w:t>
      </w:r>
      <w:r>
        <w:rPr>
          <w:rFonts w:cs="Berkeley" w:ascii="Berkeley" w:hAnsi="Berkeley"/>
          <w:u w:val="single"/>
        </w:rPr>
        <w:t>Legg Mason</w:t>
      </w:r>
      <w:r>
        <w:rPr>
          <w:rFonts w:cs="Berkeley" w:ascii="Berkeley" w:hAnsi="Berkeley"/>
        </w:rPr>
        <w:t xml:space="preserve"> cases):  Regardless of from whom the plaintiffs first seek to collect, based on Corp. Code §25505 Enron will probably eventually have to pay 20% of the total judgment (possibly more if one or more defendants become insolvent), </w:t>
      </w:r>
      <w:r>
        <w:rPr>
          <w:rFonts w:cs="Berkeley" w:ascii="Berkeley" w:hAnsi="Berkeley"/>
          <w:u w:val="single"/>
        </w:rPr>
        <w:t>regardless of relative fault</w:t>
      </w:r>
      <w:r>
        <w:rPr>
          <w:rFonts w:cs="Berkeley" w:ascii="Berkeley" w:hAnsi="Berkeley"/>
        </w:rPr>
        <w:t xml:space="preserve"> (except in the unlikely event that</w:t>
      </w:r>
      <w:r>
        <w:rPr>
          <w:rFonts w:cs="Berkeley" w:ascii="Berkeley" w:hAnsi="Berkeley"/>
          <w:b/>
          <w:bCs/>
        </w:rPr>
        <w:t xml:space="preserve"> </w:t>
      </w:r>
      <w:r>
        <w:rPr>
          <w:rFonts w:cs="Berkeley" w:ascii="Berkeley" w:hAnsi="Berkeley"/>
        </w:rPr>
        <w:t>Corp. Code §25505 is interpreted to provide for contribution based on relative fault); common law comparative equitable indemnity is probably not available on the CCSL claims (and, in any event, would have to be asserted in a separate action</w:t>
      </w:r>
      <w:r>
        <w:rPr>
          <w:rFonts w:cs="Berkeley" w:ascii="Berkeley" w:hAnsi="Berkeley"/>
          <w:b/>
          <w:bCs/>
        </w:rPr>
        <w:t>)</w:t>
      </w:r>
      <w:r>
        <w:rPr>
          <w:rFonts w:cs="Berkeley" w:ascii="Berkeley" w:hAnsi="Berkeley"/>
        </w:rPr>
        <w:t>.  If the plaintiff seeks to collect from Enron first, Enron could conceivably have to pay initially as much as 100% of the judgment and then have to bring a separate action, or possibly only a post-trial motion, against one or more of the other judgment debtors to enforce Enron’s rights to statutory contribution under Corp. Code §25505 (and/or CCP §882, if applicable).</w:t>
      </w:r>
    </w:p>
    <w:p>
      <w:pPr>
        <w:pStyle w:val="BodyTextIndent3"/>
        <w:ind w:start="3600" w:end="0"/>
        <w:rPr/>
      </w:pPr>
      <w:r>
        <w:rPr>
          <w:rFonts w:eastAsia="Berkeley" w:cs="Berkeley" w:ascii="Berkeley" w:hAnsi="Berkeley"/>
        </w:rPr>
        <w:t xml:space="preserve">  </w:t>
      </w:r>
      <w:r>
        <w:rPr>
          <w:rFonts w:cs="Berkeley" w:ascii="Berkeley" w:hAnsi="Berkeley"/>
        </w:rPr>
        <w:t xml:space="preserve">On the common law tort claims (in the </w:t>
      </w:r>
      <w:r>
        <w:rPr>
          <w:rFonts w:cs="Berkeley" w:ascii="Berkeley" w:hAnsi="Berkeley"/>
          <w:u w:val="single"/>
        </w:rPr>
        <w:t>Farallon</w:t>
      </w:r>
      <w:r>
        <w:rPr>
          <w:rFonts w:cs="Berkeley" w:ascii="Berkeley" w:hAnsi="Berkeley"/>
        </w:rPr>
        <w:t xml:space="preserve"> case only):  Enron could again have to pay initially as much as 100% of the judgment and would then have to file a separate action to seek comparative equitable indemnity, based on relative fault, from the other judgment debtors (some of whom might become insolvent); Enron might be able to obtain some interim relief by moving immediately for </w:t>
      </w:r>
      <w:r>
        <w:rPr>
          <w:rFonts w:cs="Berkeley" w:ascii="Berkeley" w:hAnsi="Berkeley"/>
          <w:u w:val="single"/>
        </w:rPr>
        <w:t>pro rata</w:t>
      </w:r>
      <w:r>
        <w:rPr>
          <w:rFonts w:cs="Berkeley" w:ascii="Berkeley" w:hAnsi="Berkeley"/>
        </w:rPr>
        <w:t xml:space="preserve"> contribution under CCP §875 while awaiting the outcome of its separate action for comparative equitable indemnity.  On the other hand, if other defendants pay the judgment, they may pursue these same remedies against Enron (possibly forcing Enron to pay one of the defendants 20% of the judgment under CCP §875 and then requiring Enron then to sue separately to recoup that payment to the extent that it exceeds Enron’s share based on relative fault.)</w:t>
      </w:r>
    </w:p>
    <w:p>
      <w:pPr>
        <w:pStyle w:val="BodyTextIndent3"/>
        <w:ind w:start="3600" w:end="0"/>
        <w:rPr/>
      </w:pPr>
      <w:r>
        <w:rPr>
          <w:rFonts w:cs="Berkeley" w:ascii="Berkeley" w:hAnsi="Berkeley"/>
        </w:rPr>
        <w:t>In addition, as discussed above, no case has considered a judgment debtor’s rights if (i) a joint and several judgment has been entered on both CCSL claims and tort claims to compensate plaintiff for the same loss and (ii) comparative equitable indemnity is available only</w:t>
      </w:r>
      <w:r>
        <w:rPr>
          <w:rFonts w:cs="Berkeley" w:ascii="Berkeley" w:hAnsi="Berkeley"/>
          <w:b/>
          <w:bCs/>
        </w:rPr>
        <w:t xml:space="preserve"> </w:t>
      </w:r>
      <w:r>
        <w:rPr>
          <w:rFonts w:cs="Berkeley" w:ascii="Berkeley" w:hAnsi="Berkeley"/>
        </w:rPr>
        <w:t xml:space="preserve">with respect to plaintiff’s tort claims—a result that could well come to pass in the </w:t>
      </w:r>
      <w:r>
        <w:rPr>
          <w:rFonts w:cs="Berkeley" w:ascii="Berkeley" w:hAnsi="Berkeley"/>
          <w:u w:val="single"/>
        </w:rPr>
        <w:t>Farallon</w:t>
      </w:r>
      <w:r>
        <w:rPr>
          <w:rFonts w:cs="Berkeley" w:ascii="Berkeley" w:hAnsi="Berkeley"/>
        </w:rPr>
        <w:t xml:space="preserve"> case.</w:t>
      </w:r>
    </w:p>
    <w:p>
      <w:pPr>
        <w:pStyle w:val="BodyTextIndent"/>
        <w:ind w:start="2880" w:end="0"/>
        <w:rPr>
          <w:rFonts w:ascii="Berkeley" w:hAnsi="Berkeley" w:cs="Berkeley"/>
        </w:rPr>
      </w:pPr>
      <w:r>
        <w:rPr>
          <w:rFonts w:cs="Berkeley" w:ascii="Berkeley" w:hAnsi="Berkeley"/>
        </w:rPr>
        <w:t>b.</w:t>
        <w:tab/>
      </w:r>
      <w:r>
        <w:rPr>
          <w:rFonts w:cs="Berkeley" w:ascii="Berkeley" w:hAnsi="Berkeley"/>
          <w:u w:val="single"/>
        </w:rPr>
        <w:t>If Enron or another defendant has filed a pre-trial cross-complaint to require the jury to determine relative fault at trial</w:t>
      </w:r>
    </w:p>
    <w:p>
      <w:pPr>
        <w:pStyle w:val="BodyTextIndent3"/>
        <w:ind w:start="3600" w:end="0"/>
        <w:rPr>
          <w:rFonts w:ascii="Berkeley" w:hAnsi="Berkeley" w:cs="Berkeley"/>
        </w:rPr>
      </w:pPr>
      <w:r>
        <w:rPr>
          <w:rFonts w:cs="Berkeley" w:ascii="Berkeley" w:hAnsi="Berkeley"/>
        </w:rPr>
        <w:t>On the CCSL claims:  Contribution under Corp. Code §25505 will be part of the judgment; Enron will have to pay 20% (except in the unlikely event that §25505 is interpreted to provide for contribution based on relative fault) but no more (assuming none of the other defendants become insolvent.)  Common law comparative equitable indemnity is probably not available on the CCSL claims</w:t>
      </w:r>
      <w:r>
        <w:rPr>
          <w:rFonts w:cs="Berkeley" w:ascii="Berkeley" w:hAnsi="Berkeley"/>
          <w:szCs w:val="24"/>
        </w:rPr>
        <w:t>.</w:t>
      </w:r>
    </w:p>
    <w:p>
      <w:pPr>
        <w:pStyle w:val="BodyTextIndent3"/>
        <w:ind w:start="3600" w:end="0"/>
        <w:rPr/>
      </w:pPr>
      <w:r>
        <w:rPr>
          <w:rFonts w:cs="Berkeley" w:ascii="Berkeley" w:hAnsi="Berkeley"/>
        </w:rPr>
        <w:t>On the common law tort claims (</w:t>
      </w:r>
      <w:r>
        <w:rPr>
          <w:rFonts w:cs="Berkeley" w:ascii="Berkeley" w:hAnsi="Berkeley"/>
          <w:u w:val="single"/>
        </w:rPr>
        <w:t>Farallon</w:t>
      </w:r>
      <w:r>
        <w:rPr>
          <w:rFonts w:cs="Berkeley" w:ascii="Berkeley" w:hAnsi="Berkeley"/>
        </w:rPr>
        <w:t xml:space="preserve"> only):  Orders of comparative equitable indemnity based on relative fault will be part of the judgment.  Enron will have to pay only its equitable share of the judgment, unless one or more of the other joint judgment debtors become insolvent.  No separate action would be required.</w:t>
      </w:r>
    </w:p>
    <w:p>
      <w:pPr>
        <w:pStyle w:val="BodyTextIndent3"/>
        <w:ind w:start="3600" w:end="0"/>
        <w:rPr>
          <w:rFonts w:ascii="Berkeley" w:hAnsi="Berkeley" w:cs="Berkeley"/>
          <w:u w:val="single"/>
        </w:rPr>
      </w:pPr>
      <w:r>
        <w:rPr>
          <w:rFonts w:cs="Berkeley" w:ascii="Berkeley" w:hAnsi="Berkeley"/>
        </w:rPr>
        <w:t>Again, there is no precedent to resolve the conflict between statutory contribution for claims under the CCSL and common law comparative equitable indemnity for tort claims in the same case.</w:t>
      </w:r>
    </w:p>
    <w:p>
      <w:pPr>
        <w:pStyle w:val="BodyTextIndent3"/>
        <w:ind w:start="2880" w:end="0"/>
        <w:rPr/>
      </w:pPr>
      <w:r>
        <w:rPr>
          <w:rFonts w:cs="Berkeley" w:ascii="Berkeley" w:hAnsi="Berkeley"/>
        </w:rPr>
        <w:t>c.</w:t>
        <w:tab/>
      </w:r>
      <w:r>
        <w:rPr>
          <w:rFonts w:cs="Berkeley" w:ascii="Berkeley" w:hAnsi="Berkeley"/>
          <w:u w:val="single"/>
        </w:rPr>
        <w:t>Comment</w:t>
      </w:r>
    </w:p>
    <w:p>
      <w:pPr>
        <w:pStyle w:val="BodyTextIndent3"/>
        <w:ind w:hanging="0" w:start="2880" w:end="0"/>
        <w:rPr/>
      </w:pPr>
      <w:r>
        <w:rPr>
          <w:rFonts w:cs="Berkeley" w:ascii="Berkeley" w:hAnsi="Berkeley"/>
        </w:rPr>
        <w:t xml:space="preserve">Notwithstanding the general trend toward allocating responsibility on the basis of fault, because there is no authority for interpreting statutory contribution under Corp. Code §25505 as being based on relative fault, and because comparative equitable indemnity may well not be available with respect to claims under the CCSL, if Enron does not settle with the California plaintiffs, goes to trial, and loses, </w:t>
      </w:r>
      <w:r>
        <w:rPr>
          <w:rFonts w:cs="Berkeley" w:ascii="Berkeley" w:hAnsi="Berkeley"/>
          <w:u w:val="single"/>
        </w:rPr>
        <w:t>Enron will likely have to pay at least 20%</w:t>
      </w:r>
      <w:r>
        <w:rPr>
          <w:rFonts w:cs="Berkeley" w:ascii="Berkeley" w:hAnsi="Berkeley"/>
        </w:rPr>
        <w:t xml:space="preserve"> of the judgments obtained by plaintiffs under the CCSL (possibly more if any defendants become insolvent) </w:t>
      </w:r>
      <w:r>
        <w:rPr>
          <w:rFonts w:cs="Berkeley" w:ascii="Berkeley" w:hAnsi="Berkeley"/>
          <w:u w:val="single"/>
        </w:rPr>
        <w:t>regardless of its proper share of the liability to plaintiffs based on relative fault</w:t>
      </w:r>
      <w:r>
        <w:rPr>
          <w:rFonts w:cs="Berkeley" w:ascii="Berkeley" w:hAnsi="Berkeley"/>
        </w:rPr>
        <w:t xml:space="preserve">.  (Whether Enron can reduce this burden in the </w:t>
      </w:r>
      <w:r>
        <w:rPr>
          <w:rFonts w:cs="Berkeley" w:ascii="Berkeley" w:hAnsi="Berkeley"/>
          <w:u w:val="single"/>
        </w:rPr>
        <w:t>Farallon</w:t>
      </w:r>
      <w:r>
        <w:rPr>
          <w:rFonts w:cs="Berkeley" w:ascii="Berkeley" w:hAnsi="Berkeley"/>
        </w:rPr>
        <w:t xml:space="preserve"> case by seeking comparative equitable indemnity with respect to Farallon’s common law tort claims is not clear.)</w:t>
      </w:r>
    </w:p>
    <w:p>
      <w:pPr>
        <w:pStyle w:val="Heading6"/>
        <w:numPr>
          <w:ilvl w:val="0"/>
          <w:numId w:val="3"/>
        </w:numPr>
        <w:rPr/>
      </w:pPr>
      <w:r>
        <w:rPr/>
        <w:t>If Enron Settles With Plaintiffs Pre-Trial</w:t>
      </w:r>
    </w:p>
    <w:p>
      <w:pPr>
        <w:pStyle w:val="Normal"/>
        <w:numPr>
          <w:ilvl w:val="1"/>
          <w:numId w:val="3"/>
        </w:numPr>
        <w:tabs>
          <w:tab w:val="clear" w:pos="720"/>
          <w:tab w:val="left" w:pos="2160" w:leader="none"/>
        </w:tabs>
        <w:spacing w:lineRule="auto" w:line="480"/>
        <w:ind w:hanging="720" w:start="2160" w:end="0"/>
        <w:rPr>
          <w:u w:val="single"/>
        </w:rPr>
      </w:pPr>
      <w:r>
        <w:rPr>
          <w:u w:val="single"/>
        </w:rPr>
        <w:t>If Enron does not obtain a good faith settlement determination pre-trial:</w:t>
      </w:r>
    </w:p>
    <w:p>
      <w:pPr>
        <w:pStyle w:val="Normal"/>
        <w:spacing w:lineRule="auto" w:line="480"/>
        <w:ind w:start="2160" w:end="0"/>
        <w:rPr/>
      </w:pPr>
      <w:r>
        <w:rPr/>
        <w:t xml:space="preserve">Enron avoids trial, but all statutory and common law remedies (except for contribution under CCP §§875 and 882, which are available only against judgment debtors) would remain available to the other defendants, who could pay plaintiffs and then bring separate actions against Enron for statutory contribution under Corp. Code §25505 (assuming that that statutory right is not limited to judgment debtors) and/or for common law comparative equitable indemnity.  In order to succeed on a claim for statutory contribution, the defendants would have to prove that Enron was in fact liable under the CCSL to the plaintiffs.  With respect to the </w:t>
      </w:r>
      <w:r>
        <w:rPr>
          <w:u w:val="single"/>
        </w:rPr>
        <w:t>Farallon</w:t>
      </w:r>
      <w:r>
        <w:rPr/>
        <w:t xml:space="preserve"> case, either the other defendants or Enron would likely ask the court in the second action to determine the relative fault of the parties.  However, again it is unclear how statutory contribution for the CCSL claims and common law comparative equitable indemnity for the tort claims would interact in the </w:t>
      </w:r>
      <w:r>
        <w:rPr>
          <w:u w:val="single"/>
        </w:rPr>
        <w:t>Farallon</w:t>
      </w:r>
      <w:r>
        <w:rPr/>
        <w:t xml:space="preserve"> case.</w:t>
      </w:r>
    </w:p>
    <w:p>
      <w:pPr>
        <w:pStyle w:val="Heading6"/>
        <w:numPr>
          <w:ilvl w:val="1"/>
          <w:numId w:val="3"/>
        </w:numPr>
        <w:tabs>
          <w:tab w:val="clear" w:pos="720"/>
          <w:tab w:val="left" w:pos="3240" w:leader="none"/>
        </w:tabs>
        <w:ind w:hanging="720" w:start="2160" w:end="0"/>
        <w:rPr/>
      </w:pPr>
      <w:r>
        <w:rPr>
          <w:b w:val="false"/>
          <w:bCs w:val="false"/>
          <w:u w:val="single"/>
        </w:rPr>
        <w:t>If Enron obtains a good faith settlement determination pre-trial</w:t>
      </w:r>
      <w:r>
        <w:rPr>
          <w:b w:val="false"/>
          <w:bCs w:val="false"/>
        </w:rPr>
        <w:t>:</w:t>
      </w:r>
    </w:p>
    <w:p>
      <w:pPr>
        <w:pStyle w:val="Normal"/>
        <w:spacing w:lineRule="auto" w:line="480"/>
        <w:ind w:start="2160" w:end="0"/>
        <w:rPr/>
      </w:pPr>
      <w:r>
        <w:rPr/>
        <w:t xml:space="preserve">Enron avoids trial, but it is possible that the other defendants could still bring separate actions against Enron to recover statutory contribution under Corp. Code §25505 with respect to the CCSL claims in both the </w:t>
      </w:r>
      <w:r>
        <w:rPr>
          <w:u w:val="single"/>
        </w:rPr>
        <w:t>Farallon</w:t>
      </w:r>
      <w:r>
        <w:rPr/>
        <w:t xml:space="preserve"> and </w:t>
      </w:r>
      <w:r>
        <w:rPr>
          <w:u w:val="single"/>
        </w:rPr>
        <w:t>Legg Mason</w:t>
      </w:r>
      <w:r>
        <w:rPr/>
        <w:t xml:space="preserve"> actions (the two federal courts which addressed this issue reached contrary results; policies encouraging settlements would favor a bar to any such action.)  In order to succeed in any such action, the other defendants would have to prove that Enron was in fact liable to plaintiff under the CCSL.  The other defendants could not bring any separate action against Enron for comparative equitable indemnity on the tort claims.</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408"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rkeley">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15">
              <wp:simplePos x="0" y="0"/>
              <wp:positionH relativeFrom="margin">
                <wp:posOffset>0</wp:posOffset>
              </wp:positionH>
              <wp:positionV relativeFrom="paragraph">
                <wp:posOffset>635</wp:posOffset>
              </wp:positionV>
              <wp:extent cx="5943600" cy="139700"/>
              <wp:effectExtent l="0" t="0" r="0" b="0"/>
              <wp:wrapNone/>
              <wp:docPr id="1" name="Frame2"/>
              <a:graphic xmlns:a="http://schemas.openxmlformats.org/drawingml/2006/main">
                <a:graphicData uri="http://schemas.microsoft.com/office/word/2010/wordprocessingShape">
                  <wps:wsp>
                    <wps:cNvSpPr txBox="1"/>
                    <wps:spPr>
                      <a:xfrm>
                        <a:off x="0" y="0"/>
                        <a:ext cx="5943600" cy="139700"/>
                      </a:xfrm>
                      <a:prstGeom prst="rect"/>
                      <a:solidFill>
                        <a:srgbClr val="FFFFFF">
                          <a:alpha val="0"/>
                        </a:srgbClr>
                      </a:solidFill>
                    </wps:spPr>
                    <wps:txbx>
                      <w:txbxContent>
                        <w:p>
                          <w:pPr>
                            <w:pStyle w:val="Normal"/>
                            <w:tabs>
                              <w:tab w:val="clear" w:pos="720"/>
                              <w:tab w:val="center" w:pos="4680" w:leader="none"/>
                              <w:tab w:val="right" w:pos="9360" w:leader="none"/>
                            </w:tabs>
                            <w:rPr>
                              <w:sz w:val="18"/>
                            </w:rPr>
                          </w:pPr>
                          <w:r>
                            <w:rPr>
                              <w:sz w:val="18"/>
                            </w:rPr>
                            <w:t>563186_1.DOC</w:t>
                          </w:r>
                        </w:p>
                      </w:txbxContent>
                    </wps:txbx>
                    <wps:bodyPr anchor="t" lIns="635" tIns="635" rIns="635" bIns="635">
                      <a:noAutofit/>
                    </wps:bodyPr>
                  </wps:wsp>
                </a:graphicData>
              </a:graphic>
            </wp:anchor>
          </w:drawing>
        </mc:Choice>
        <mc:Fallback>
          <w:pict>
            <v:rect fillcolor="#FFFFFF" style="position:absolute;rotation:-0;width:468pt;height:11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Normal"/>
                      <w:tabs>
                        <w:tab w:val="clear" w:pos="720"/>
                        <w:tab w:val="center" w:pos="4680" w:leader="none"/>
                        <w:tab w:val="right" w:pos="9360" w:leader="none"/>
                      </w:tabs>
                      <w:rPr>
                        <w:sz w:val="18"/>
                      </w:rPr>
                    </w:pPr>
                    <w:r>
                      <w:rPr>
                        <w:sz w:val="18"/>
                      </w:rPr>
                      <w:t>563186_1.DOC</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lang w:val="en-CA" w:eastAsia="en-CA"/>
      </w:rPr>
    </w:pPr>
    <w:r>
      <w:rPr>
        <w:lang w:val="en-CA" w:eastAsia="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5943600" cy="139700"/>
              <wp:effectExtent l="0" t="0" r="0" b="0"/>
              <wp:wrapNone/>
              <wp:docPr id="2" name="Frame1"/>
              <a:graphic xmlns:a="http://schemas.openxmlformats.org/drawingml/2006/main">
                <a:graphicData uri="http://schemas.microsoft.com/office/word/2010/wordprocessingShape">
                  <wps:wsp>
                    <wps:cNvSpPr txBox="1"/>
                    <wps:spPr>
                      <a:xfrm>
                        <a:off x="0" y="0"/>
                        <a:ext cx="5943600" cy="139700"/>
                      </a:xfrm>
                      <a:prstGeom prst="rect"/>
                      <a:solidFill>
                        <a:srgbClr val="FFFFFF">
                          <a:alpha val="0"/>
                        </a:srgbClr>
                      </a:solidFill>
                    </wps:spPr>
                    <wps:txbx>
                      <w:txbxContent>
                        <w:p>
                          <w:pPr>
                            <w:pStyle w:val="Normal"/>
                            <w:tabs>
                              <w:tab w:val="clear" w:pos="720"/>
                              <w:tab w:val="center" w:pos="4680" w:leader="none"/>
                              <w:tab w:val="right" w:pos="9360" w:leader="none"/>
                            </w:tabs>
                            <w:rPr>
                              <w:sz w:val="18"/>
                            </w:rPr>
                          </w:pPr>
                          <w:r>
                            <w:rPr>
                              <w:sz w:val="18"/>
                            </w:rPr>
                            <w:t>563186_1.DOC</w:t>
                          </w:r>
                        </w:p>
                      </w:txbxContent>
                    </wps:txbx>
                    <wps:bodyPr anchor="t" lIns="635" tIns="635" rIns="635" bIns="635">
                      <a:noAutofit/>
                    </wps:bodyPr>
                  </wps:wsp>
                </a:graphicData>
              </a:graphic>
            </wp:anchor>
          </w:drawing>
        </mc:Choice>
        <mc:Fallback>
          <w:pict>
            <v:rect fillcolor="#FFFFFF" style="position:absolute;rotation:-0;width:468pt;height:11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Normal"/>
                      <w:tabs>
                        <w:tab w:val="clear" w:pos="720"/>
                        <w:tab w:val="center" w:pos="4680" w:leader="none"/>
                        <w:tab w:val="right" w:pos="9360" w:leader="none"/>
                      </w:tabs>
                      <w:rPr>
                        <w:sz w:val="18"/>
                      </w:rPr>
                    </w:pPr>
                    <w:r>
                      <w:rPr>
                        <w:sz w:val="18"/>
                      </w:rPr>
                      <w:t>563186_1.DOC</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Memorandum to Richard Sanders</w:t>
    </w:r>
  </w:p>
  <w:p>
    <w:pPr>
      <w:pStyle w:val="Header"/>
      <w:rPr/>
    </w:pPr>
    <w:r>
      <w:rPr/>
    </w:r>
  </w:p>
  <w:p>
    <w:pPr>
      <w:pStyle w:val="Header"/>
      <w:spacing w:before="0" w:after="480"/>
      <w:rPr/>
    </w:pPr>
    <w:r>
      <w:rPr/>
      <w:t xml:space="preserve">Page </w:t>
    </w:r>
    <w:r>
      <w:rPr/>
      <w:fldChar w:fldCharType="begin"/>
    </w:r>
    <w:r>
      <w:rPr/>
      <w:instrText xml:space="preserve"> PAGE </w:instrText>
    </w:r>
    <w:r>
      <w:rPr/>
      <w:fldChar w:fldCharType="separate"/>
    </w:r>
    <w:r>
      <w:rPr/>
      <w:t>14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tterhead"/>
      <w:rPr>
        <w:spacing w:val="80"/>
        <w:sz w:val="32"/>
      </w:rPr>
    </w:pPr>
    <w:bookmarkStart w:id="0" w:name="zzmpFIXED_LHFirstPage"/>
    <w:bookmarkEnd w:id="0"/>
    <w:r>
      <w:rPr>
        <w:spacing w:val="80"/>
        <w:sz w:val="32"/>
      </w:rPr>
      <w:t>ALSCHULER GROSSMAN STEIN &amp; KAHAN LLP</w:t>
    </w:r>
  </w:p>
  <w:p>
    <w:pPr>
      <w:pStyle w:val="Letterhead"/>
      <w:spacing w:before="40" w:after="0"/>
      <w:rPr>
        <w:spacing w:val="80"/>
        <w:sz w:val="22"/>
      </w:rPr>
    </w:pPr>
    <w:r>
      <w:rPr>
        <w:spacing w:val="80"/>
        <w:sz w:val="22"/>
      </w:rPr>
      <w:t>ATTORNEYS AT LAW</w:t>
    </w:r>
  </w:p>
  <w:p>
    <w:pPr>
      <w:pStyle w:val="Header"/>
      <w:rPr>
        <w:spacing w:val="80"/>
        <w:sz w:val="22"/>
      </w:rPr>
    </w:pPr>
    <w:r>
      <w:rPr>
        <w:spacing w:val="80"/>
        <w:sz w:val="22"/>
      </w:rPr>
    </w:r>
    <w:bookmarkStart w:id="1" w:name="zzmpFIXED_LHFirstPage"/>
    <w:bookmarkStart w:id="2" w:name="zzmpFIXED_LHFirstPage"/>
    <w:bookmarkEnd w:id="2"/>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2160"/>
        </w:tabs>
        <w:ind w:start="2160" w:hanging="720"/>
      </w:pPr>
      <w:rPr/>
    </w:lvl>
    <w:lvl w:ilvl="1">
      <w:start w:val="1"/>
      <w:numFmt w:val="upperLetter"/>
      <w:lvlText w:val="%2."/>
      <w:lvlJc w:val="start"/>
      <w:pPr>
        <w:tabs>
          <w:tab w:val="num" w:pos="2520"/>
        </w:tabs>
        <w:ind w:start="2520" w:hanging="360"/>
      </w:pPr>
      <w:rPr/>
    </w:lvl>
    <w:lvl w:ilvl="2">
      <w:start w:val="1"/>
      <w:numFmt w:val="lowerLetter"/>
      <w:lvlText w:val="%3."/>
      <w:lvlJc w:val="start"/>
      <w:pPr>
        <w:tabs>
          <w:tab w:val="num" w:pos="3420"/>
        </w:tabs>
        <w:ind w:start="3420" w:hanging="360"/>
      </w:pPr>
      <w:r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3">
    <w:lvl w:ilvl="0">
      <w:start w:val="1"/>
      <w:numFmt w:val="upperLetter"/>
      <w:lvlText w:val="%1."/>
      <w:lvlJc w:val="start"/>
      <w:pPr>
        <w:tabs>
          <w:tab w:val="num" w:pos="1440"/>
        </w:tabs>
        <w:ind w:start="1440" w:hanging="720"/>
      </w:pPr>
      <w:rPr/>
    </w:lvl>
    <w:lvl w:ilvl="1">
      <w:start w:val="1"/>
      <w:numFmt w:val="decimal"/>
      <w:lvlText w:val="%2."/>
      <w:lvlJc w:val="start"/>
      <w:pPr>
        <w:tabs>
          <w:tab w:val="num" w:pos="1800"/>
        </w:tabs>
        <w:ind w:start="1800" w:hanging="360"/>
      </w:pPr>
      <w:rPr/>
    </w:lvl>
    <w:lvl w:ilvl="2">
      <w:start w:val="2"/>
      <w:numFmt w:val="upperRoman"/>
      <w:lvlText w:val="%3."/>
      <w:lvlJc w:val="start"/>
      <w:pPr>
        <w:tabs>
          <w:tab w:val="num" w:pos="3060"/>
        </w:tabs>
        <w:ind w:start="3060" w:hanging="720"/>
      </w:pPr>
      <w:r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lowerLetter"/>
      <w:lvlText w:val="%1."/>
      <w:lvlJc w:val="start"/>
      <w:pPr>
        <w:tabs>
          <w:tab w:val="num" w:pos="2880"/>
        </w:tabs>
        <w:ind w:start="2880" w:hanging="720"/>
      </w:pPr>
      <w:rPr/>
    </w:lvl>
  </w:abstractNum>
  <w:abstractNum w:abstractNumId="5">
    <w:lvl w:ilvl="0">
      <w:start w:val="2"/>
      <w:numFmt w:val="upperRoman"/>
      <w:lvlText w:val="%1."/>
      <w:lvlJc w:val="start"/>
      <w:pPr>
        <w:tabs>
          <w:tab w:val="num" w:pos="1080"/>
        </w:tabs>
        <w:ind w:start="1080" w:hanging="720"/>
      </w:pPr>
      <w:rPr/>
    </w:lvl>
  </w:abstractNum>
  <w:abstractNum w:abstractNumId="6">
    <w:lvl w:ilvl="0">
      <w:start w:val="2"/>
      <w:numFmt w:val="decimal"/>
      <w:lvlText w:val="%1."/>
      <w:lvlJc w:val="start"/>
      <w:pPr>
        <w:tabs>
          <w:tab w:val="num" w:pos="2160"/>
        </w:tabs>
        <w:ind w:start="2160" w:hanging="720"/>
      </w:pPr>
      <w:rPr/>
    </w:lvl>
    <w:lvl w:ilvl="1">
      <w:start w:val="2"/>
      <w:numFmt w:val="upperLetter"/>
      <w:lvlText w:val="%2."/>
      <w:lvlJc w:val="start"/>
      <w:pPr>
        <w:tabs>
          <w:tab w:val="num" w:pos="2520"/>
        </w:tabs>
        <w:ind w:start="2520" w:hanging="360"/>
      </w:pPr>
      <w:r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bpfile" w:val="Memo.mbp"/>
    <w:docVar w:name="DocStamp_1_DocID" w:val="C:\NrPortbl\Docs\SHOWARD\563186_1.DOC"/>
    <w:docVar w:name="DocStamp_1_IncludeDate" w:val="False"/>
    <w:docVar w:name="DocStamp_1_IncludeDraftText" w:val="False"/>
    <w:docVar w:name="DocStamp_1_IncludeTime" w:val="False"/>
    <w:docVar w:name="DocStamp_1_InsertDateAsField" w:val="False"/>
    <w:docVar w:name="DocStamp_1_TypeID" w:val="1"/>
    <w:docVar w:name="Memo_1_Alignment" w:val="0"/>
    <w:docVar w:name="Memo_1_Author" w:val="2231"/>
    <w:docVar w:name="Memo_1_ClientMatterNumber" w:val="12169-202244"/>
    <w:docVar w:name="Memo_1_DateType" w:val="mmmm d, yyyy"/>
    <w:docVar w:name="Memo_1_DeliveryPhrases" w:val="Confidential&#10;Attorney-Client Privilege"/>
    <w:docVar w:name="Memo_1_FirstLineIndent" w:val="1"/>
    <w:docVar w:name="Memo_1_FontName" w:val="Berkeley"/>
    <w:docVar w:name="Memo_1_FontSize" w:val="12"/>
    <w:docVar w:name="Memo_1_From" w:val="Steve Howard"/>
    <w:docVar w:name="Memo_1_HeaderAdditionalText" w:val="Richard Sanders"/>
    <w:docVar w:name="Memo_1_IncludeDPhrasesInHeader" w:val="0"/>
    <w:docVar w:name="Memo_1_Recipients" w:val="Richard Sanders"/>
    <w:docVar w:name="Memo_1_Reline" w:val="Analysis Of Rights Of Defendants in NSM California Cases to Recover From Other Defendants A Portion Of Any Payment That They May Make to Plaintiffs Pursuant To Judgment Or Settlement"/>
    <w:docVar w:name="MemoLH_1_Author" w:val="2231"/>
    <w:docVar w:name="MemoLH_1_IncludeLetterheadEMail" w:val="-1"/>
    <w:docVar w:name="MemoLH_1_IncludeLetterheadFax" w:val="0"/>
    <w:docVar w:name="MemoLH_1_IncludeLetterheadName" w:val="-1"/>
    <w:docVar w:name="MemoLH_1_IncludeLetterheadPhone" w:val="-1"/>
    <w:docVar w:name="MemoLH_1_IncludeLetterheadTitle" w:val="-1"/>
    <w:docVar w:name="MemoLH_1_LetterheadEMail" w:val="showard@agsk.com"/>
    <w:docVar w:name="MemoLH_1_LetterheadFirmFax" w:val="310-552-6077"/>
    <w:docVar w:name="MemoLH_1_LetterheadFirmName" w:val="Alschuler Grossman Stein &amp; Kahan LLP"/>
    <w:docVar w:name="MemoLH_1_LetterheadFirmPhone" w:val="310-277-1226"/>
    <w:docVar w:name="MemoLH_1_LetterheadFirmURL" w:val="www.sflaw.com"/>
    <w:docVar w:name="MemoLH_1_LetterheadName" w:val="C. Stephen Howard"/>
    <w:docVar w:name="MemoLH_1_LetterheadPhone" w:val="310-407-7613"/>
    <w:docVar w:name="MemoLH_1_LetterheadTitle" w:val="Attorney At Law"/>
    <w:docVar w:name="MemoLH_1_LetterheadType" w:val="4"/>
    <w:docVar w:name="MPDocID" w:val="C:\NrPortbl\Docs\SHOWARD\563186_1.DOC"/>
    <w:docVar w:name="ReUseAuthor" w:val="2231|Howard, Steve|showard@agsk.com||Steve|C. Stephen Howard||CSH|2091\California Bar ID\43434\True|True|Howard||1|310-407-7613|Attorney At Law"/>
    <w:docVar w:name="ReuseAuthorOptions" w:val="fldID??-99999999|fldLastEditTime??1/20/00 5:38:25 PM|cmbLetterheadType??4|chkIncludeLetterheadName??-1|chkIncludeLetterheadPhone??-1|chkIncludeLetterheadEMail??-1|chkIncludeLetterheadTitle??-1|chkIncludeLetterheadFax??0|cmbDateType??mmmm d, yyyy|cmbBodyTextAlignment??0|spnBodyTextFirstLineIndent??1|cmbNormalFontName??Berkeley|spnNormalFontSize??12"/>
    <w:docVar w:name="zzmpFixed_MacPacVersion" w:val="9.0"/>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erkeley" w:hAnsi="Berkeley" w:eastAsia="Times New Roman" w:cs="Berkeley"/>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rFonts w:ascii="Times New Roman" w:hAnsi="Times New Roman" w:cs="Times New Roman"/>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5">
    <w:name w:val="heading 5"/>
    <w:basedOn w:val="Normal"/>
    <w:next w:val="Normal"/>
    <w:qFormat/>
    <w:pPr>
      <w:keepNext w:val="true"/>
      <w:numPr>
        <w:ilvl w:val="4"/>
        <w:numId w:val="1"/>
      </w:numPr>
      <w:spacing w:lineRule="auto" w:line="480"/>
      <w:ind w:hanging="0" w:start="720" w:end="0"/>
      <w:outlineLvl w:val="4"/>
    </w:pPr>
    <w:rPr>
      <w:b/>
      <w:bCs/>
      <w:szCs w:val="24"/>
    </w:rPr>
  </w:style>
  <w:style w:type="paragraph" w:styleId="Heading6">
    <w:name w:val="heading 6"/>
    <w:basedOn w:val="Normal"/>
    <w:next w:val="Normal"/>
    <w:qFormat/>
    <w:pPr>
      <w:keepNext w:val="true"/>
      <w:numPr>
        <w:ilvl w:val="0"/>
        <w:numId w:val="2"/>
      </w:numPr>
      <w:spacing w:lineRule="auto" w:line="480"/>
      <w:outlineLvl w:val="5"/>
    </w:pPr>
    <w:rPr>
      <w:b/>
      <w:bCs/>
      <w:szCs w:val="24"/>
    </w:rPr>
  </w:style>
  <w:style w:type="character" w:styleId="WW8Num1z0">
    <w:name w:val="WW8Num1z0"/>
    <w:qFormat/>
    <w:rPr/>
  </w:style>
  <w:style w:type="character" w:styleId="WW8Num2z0">
    <w:name w:val="WW8Num2z0"/>
    <w:qFormat/>
    <w:rPr>
      <w:u w:val="non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120" w:after="360"/>
      <w:jc w:val="center"/>
      <w:outlineLvl w:val="0"/>
    </w:pPr>
    <w:rPr>
      <w:b/>
      <w:caps/>
      <w:spacing w:val="40"/>
      <w:sz w:val="28"/>
    </w:rPr>
  </w:style>
  <w:style w:type="paragraph" w:styleId="BodyText">
    <w:name w:val="Body Text"/>
    <w:basedOn w:val="Normal"/>
    <w:pPr>
      <w:spacing w:lineRule="auto" w:line="480"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tterhead">
    <w:name w:val="Letterhead"/>
    <w:qFormat/>
    <w:pPr>
      <w:widowControl/>
      <w:tabs>
        <w:tab w:val="clear" w:pos="720"/>
        <w:tab w:val="center" w:pos="1886" w:leader="none"/>
      </w:tabs>
      <w:bidi w:val="0"/>
      <w:jc w:val="center"/>
    </w:pPr>
    <w:rPr>
      <w:rFonts w:ascii="Berkeley" w:hAnsi="Berkeley" w:eastAsia="Times New Roman" w:cs="Berkeley"/>
      <w:color w:val="auto"/>
      <w:spacing w:val="2"/>
      <w:sz w:val="16"/>
      <w:szCs w:val="20"/>
      <w:lang w:val="en-US" w:eastAsia="en-CA" w:bidi="ar-SA"/>
    </w:rPr>
  </w:style>
  <w:style w:type="paragraph" w:styleId="DeliveryPhrase">
    <w:name w:val="Delivery Phrase"/>
    <w:basedOn w:val="Normal"/>
    <w:qFormat/>
    <w:pPr/>
    <w:rPr>
      <w:b/>
      <w:smallCaps/>
    </w:rPr>
  </w:style>
  <w:style w:type="paragraph" w:styleId="tblText">
    <w:name w:val="tbl Text"/>
    <w:basedOn w:val="Normal"/>
    <w:qFormat/>
    <w:pPr>
      <w:spacing w:before="0" w:after="120"/>
      <w:ind w:hanging="0" w:start="0" w:end="216"/>
    </w:pPr>
    <w:rPr/>
  </w:style>
  <w:style w:type="paragraph" w:styleId="MemoDate">
    <w:name w:val="Memo Date"/>
    <w:basedOn w:val="tblText"/>
    <w:qFormat/>
    <w:pPr/>
    <w:rPr/>
  </w:style>
  <w:style w:type="paragraph" w:styleId="MemoSignatureSub">
    <w:name w:val="Memo Signature Sub"/>
    <w:basedOn w:val="Normal"/>
    <w:qFormat/>
    <w:pPr>
      <w:spacing w:before="0" w:after="240"/>
      <w:ind w:hanging="720" w:start="720" w:end="0"/>
    </w:pPr>
    <w:rPr/>
  </w:style>
  <w:style w:type="paragraph" w:styleId="tblHeading">
    <w:name w:val="tbl Heading"/>
    <w:basedOn w:val="tblText"/>
    <w:qFormat/>
    <w:pPr/>
    <w:rPr>
      <w:b/>
    </w:rPr>
  </w:style>
  <w:style w:type="paragraph" w:styleId="BodyTextContinued">
    <w:name w:val="Body Text Continued"/>
    <w:basedOn w:val="BodyText"/>
    <w:next w:val="BodyText"/>
    <w:qFormat/>
    <w:pPr>
      <w:ind w:hanging="0" w:start="0" w:end="0"/>
    </w:pPr>
    <w:rPr/>
  </w:style>
  <w:style w:type="paragraph" w:styleId="Quote">
    <w:name w:val="Quote"/>
    <w:basedOn w:val="Normal"/>
    <w:next w:val="BodyTextContinued"/>
    <w:qFormat/>
    <w:pPr>
      <w:spacing w:before="0" w:after="240"/>
      <w:ind w:hanging="0" w:start="1440" w:end="1440"/>
    </w:pPr>
    <w:rPr/>
  </w:style>
  <w:style w:type="paragraph" w:styleId="MemoSignature">
    <w:name w:val="Memo Signature"/>
    <w:basedOn w:val="Normal"/>
    <w:qFormat/>
    <w:pPr>
      <w:keepNext w:val="true"/>
      <w:keepLines/>
      <w:ind w:hanging="0" w:start="4680" w:end="0"/>
    </w:pPr>
    <w:rPr/>
  </w:style>
  <w:style w:type="paragraph" w:styleId="LetterheadAuthor">
    <w:name w:val="Letterhead Author"/>
    <w:basedOn w:val="Letterhead"/>
    <w:qFormat/>
    <w:pPr>
      <w:tabs>
        <w:tab w:val="clear" w:pos="1886"/>
      </w:tabs>
      <w:ind w:hanging="0" w:start="115" w:end="43"/>
    </w:pPr>
    <w:rPr>
      <w:smallCaps/>
    </w:rPr>
  </w:style>
  <w:style w:type="paragraph" w:styleId="BodyTextIndent">
    <w:name w:val="Body Text Indent"/>
    <w:basedOn w:val="Normal"/>
    <w:pPr>
      <w:spacing w:lineRule="auto" w:line="480"/>
      <w:ind w:hanging="720" w:start="1440" w:end="0"/>
    </w:pPr>
    <w:rPr>
      <w:rFonts w:ascii="Times New Roman" w:hAnsi="Times New Roman" w:cs="Times New Roman"/>
    </w:rPr>
  </w:style>
  <w:style w:type="paragraph" w:styleId="BodyTextIndent3">
    <w:name w:val="Body Text Indent 3"/>
    <w:basedOn w:val="Normal"/>
    <w:qFormat/>
    <w:pPr>
      <w:spacing w:lineRule="auto" w:line="480"/>
      <w:ind w:hanging="720" w:start="2160" w:end="0"/>
    </w:pPr>
    <w:rPr>
      <w:rFonts w:ascii="Times New Roman" w:hAnsi="Times New Roman" w:cs="Times New Roman"/>
    </w:rPr>
  </w:style>
  <w:style w:type="paragraph" w:styleId="BodyTextIndent2">
    <w:name w:val="Body Text Indent 2"/>
    <w:basedOn w:val="Normal"/>
    <w:qFormat/>
    <w:pPr>
      <w:spacing w:lineRule="auto" w:line="480"/>
      <w:ind w:hanging="720" w:start="1440" w:end="0"/>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2001-05-04T01:13:00Z</dcterms:created>
  <dc:creator>Default</dc:creator>
  <dc:description/>
  <dc:language>en-CA</dc:language>
  <cp:lastModifiedBy>Default</cp:lastModifiedBy>
  <cp:lastPrinted>2001-05-03T20:31:00Z</cp:lastPrinted>
  <dcterms:modified xsi:type="dcterms:W3CDTF">2001-05-04T01:13:00Z</dcterms:modified>
  <cp:revision>2</cp:revision>
  <dc:subject/>
  <dc:title>MEMORANDUM</dc:title>
</cp:coreProperties>
</file>