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rFonts w:ascii="Times New Roman" w:hAnsi="Times New Roman" w:cs="Times New Roman"/>
          <w:sz w:val="24"/>
        </w:rPr>
      </w:pPr>
      <w:r>
        <w:rPr>
          <w:rFonts w:cs="Times New Roman" w:ascii="Times New Roman" w:hAnsi="Times New Roman"/>
          <w:sz w:val="24"/>
        </w:rPr>
        <w:t>CONFIDENTIAL AND PRIVILEGED</w:t>
      </w:r>
    </w:p>
    <w:p>
      <w:pPr>
        <w:pStyle w:val="Normal"/>
        <w:rPr/>
      </w:pPr>
      <w:r>
        <w:rPr/>
        <w:t>ATTORNEY/CLIENT PRIVILEGE</w:t>
      </w:r>
    </w:p>
    <w:p>
      <w:pPr>
        <w:pStyle w:val="Heading3"/>
        <w:ind w:hanging="0" w:start="0"/>
        <w:rPr>
          <w:rFonts w:ascii="Times New Roman" w:hAnsi="Times New Roman" w:cs="Times New Roman"/>
          <w:sz w:val="24"/>
        </w:rPr>
      </w:pPr>
      <w:r>
        <w:rPr>
          <w:rFonts w:cs="Times New Roman" w:ascii="Times New Roman" w:hAnsi="Times New Roman"/>
          <w:sz w:val="24"/>
        </w:rPr>
      </w:r>
    </w:p>
    <w:p>
      <w:pPr>
        <w:pStyle w:val="Heading3"/>
        <w:ind w:hanging="0" w:start="0"/>
        <w:rPr>
          <w:rFonts w:ascii="Times New Roman" w:hAnsi="Times New Roman" w:cs="Times New Roman"/>
          <w:sz w:val="24"/>
        </w:rPr>
      </w:pPr>
      <w:r>
        <w:rPr>
          <w:rFonts w:cs="Times New Roman" w:ascii="Times New Roman" w:hAnsi="Times New Roman"/>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HIGHLIGHTS OF PARTNERSHIP PROVISIONS</w:t>
      </w:r>
    </w:p>
    <w:p>
      <w:pPr>
        <w:pStyle w:val="Heading3"/>
        <w:ind w:hanging="0" w:start="0"/>
        <w:jc w:val="center"/>
        <w:rPr>
          <w:rFonts w:ascii="Times New Roman" w:hAnsi="Times New Roman" w:cs="Times New Roman"/>
          <w:sz w:val="24"/>
        </w:rPr>
      </w:pPr>
      <w:r>
        <w:rPr>
          <w:rFonts w:cs="Times New Roman" w:ascii="Times New Roman" w:hAnsi="Times New Roman"/>
          <w:sz w:val="24"/>
        </w:rPr>
        <w:t>RELATING TO ENRON’S GENERAL PARTNER INTERESTS</w:t>
      </w:r>
    </w:p>
    <w:p>
      <w:pPr>
        <w:pStyle w:val="Heading3"/>
        <w:ind w:hanging="0" w:start="0"/>
        <w:rPr>
          <w:rFonts w:ascii="Times New Roman" w:hAnsi="Times New Roman" w:cs="Times New Roman"/>
          <w:sz w:val="24"/>
        </w:rPr>
      </w:pPr>
      <w:r>
        <w:rPr>
          <w:rFonts w:cs="Times New Roman" w:ascii="Times New Roman" w:hAnsi="Times New Roman"/>
          <w:sz w:val="24"/>
        </w:rPr>
      </w:r>
    </w:p>
    <w:p>
      <w:pPr>
        <w:pStyle w:val="Heading3"/>
        <w:ind w:hanging="0" w:start="0"/>
        <w:rPr>
          <w:rFonts w:ascii="Times New Roman" w:hAnsi="Times New Roman" w:cs="Times New Roman"/>
          <w:sz w:val="24"/>
        </w:rPr>
      </w:pPr>
      <w:r>
        <w:rPr>
          <w:rFonts w:cs="Times New Roman" w:ascii="Times New Roman" w:hAnsi="Times New Roman"/>
          <w:sz w:val="24"/>
        </w:rPr>
      </w:r>
    </w:p>
    <w:p>
      <w:pPr>
        <w:pStyle w:val="Heading3"/>
        <w:numPr>
          <w:ilvl w:val="0"/>
          <w:numId w:val="6"/>
        </w:numPr>
        <w:rPr>
          <w:rFonts w:ascii="Times New Roman" w:hAnsi="Times New Roman" w:cs="Times New Roman"/>
          <w:sz w:val="24"/>
          <w:u w:val="none"/>
        </w:rPr>
      </w:pPr>
      <w:r>
        <w:rPr>
          <w:rFonts w:cs="Times New Roman" w:ascii="Times New Roman" w:hAnsi="Times New Roman"/>
          <w:sz w:val="24"/>
          <w:u w:val="none"/>
        </w:rPr>
        <w:t>Transfer through sale of stock of General Partner is permitted and no consents from the other general partners or limited partners are necessary.</w:t>
      </w:r>
    </w:p>
    <w:p>
      <w:pPr>
        <w:pStyle w:val="Normal"/>
        <w:rPr>
          <w:rFonts w:ascii="Times New Roman" w:hAnsi="Times New Roman" w:cs="Times New Roman"/>
          <w:sz w:val="24"/>
          <w:u w:val="none"/>
        </w:rPr>
      </w:pPr>
      <w:r>
        <w:rPr>
          <w:rFonts w:cs="Times New Roman"/>
          <w:sz w:val="24"/>
          <w:u w:val="none"/>
        </w:rPr>
      </w:r>
    </w:p>
    <w:p>
      <w:pPr>
        <w:pStyle w:val="Normal"/>
        <w:numPr>
          <w:ilvl w:val="0"/>
          <w:numId w:val="6"/>
        </w:numPr>
        <w:rPr/>
      </w:pPr>
      <w:r>
        <w:rPr/>
        <w:t>Sale of GP interest to other than an affiliate triggers a right of Williams and TCPL to make an offer within 30 days of notice.  No requirement to accept such offers.  Prior approval of a majority of the outstanding unitholders is required.</w:t>
      </w:r>
    </w:p>
    <w:p>
      <w:pPr>
        <w:pStyle w:val="Normal"/>
        <w:rPr/>
      </w:pPr>
      <w:r>
        <w:rPr/>
      </w:r>
    </w:p>
    <w:p>
      <w:pPr>
        <w:pStyle w:val="Normal"/>
        <w:numPr>
          <w:ilvl w:val="0"/>
          <w:numId w:val="6"/>
        </w:numPr>
        <w:rPr/>
      </w:pPr>
      <w:r>
        <w:rPr/>
        <w:t>Sale of GP interest in NBP is deemed to be a sale of the GP interest in NBILP, which owns 70% in NBPL.</w:t>
      </w:r>
    </w:p>
    <w:p>
      <w:pPr>
        <w:pStyle w:val="Normal"/>
        <w:rPr/>
      </w:pPr>
      <w:r>
        <w:rPr/>
      </w:r>
    </w:p>
    <w:p>
      <w:pPr>
        <w:pStyle w:val="Normal"/>
        <w:numPr>
          <w:ilvl w:val="0"/>
          <w:numId w:val="6"/>
        </w:numPr>
        <w:rPr/>
      </w:pPr>
      <w:r>
        <w:rPr/>
        <w:t>Change of NPNG as operator of NBPL and MGT requires Partnership consent.  Change of NPNG as a general partner terminates the NBP Services Corp. agreement for administrative and operational services to NBP and its subsidiaries.</w:t>
      </w:r>
    </w:p>
    <w:p>
      <w:pPr>
        <w:pStyle w:val="Normal"/>
        <w:rPr/>
      </w:pPr>
      <w:r>
        <w:rPr/>
      </w:r>
    </w:p>
    <w:p>
      <w:pPr>
        <w:pStyle w:val="Normal"/>
        <w:numPr>
          <w:ilvl w:val="0"/>
          <w:numId w:val="6"/>
        </w:numPr>
        <w:rPr/>
      </w:pPr>
      <w:r>
        <w:rPr/>
        <w:t>Change of control of the GP from Enron to other than Williams is an event of default under the NBP revolving credit agreement.  Presumably this could be waived as long as the new owner is acceptable to the banks.  This would be triggered for both a transfer of stock or general partner interest.</w:t>
      </w:r>
    </w:p>
    <w:p>
      <w:pPr>
        <w:pStyle w:val="Normal"/>
        <w:rPr/>
      </w:pPr>
      <w:r>
        <w:rPr/>
      </w:r>
    </w:p>
    <w:p>
      <w:pPr>
        <w:pStyle w:val="Normal"/>
        <w:numPr>
          <w:ilvl w:val="0"/>
          <w:numId w:val="6"/>
        </w:numPr>
        <w:rPr/>
      </w:pPr>
      <w:r>
        <w:rPr/>
        <w:t>Bankruptcy- triggers right of Williams to purchase NPNG’s GP for approximately $27 million.</w:t>
      </w:r>
    </w:p>
    <w:p>
      <w:pPr>
        <w:pStyle w:val="Normal"/>
        <w:rPr/>
      </w:pPr>
      <w:r>
        <w:rPr/>
      </w:r>
    </w:p>
    <w:p>
      <w:pPr>
        <w:pStyle w:val="Normal"/>
        <w:numPr>
          <w:ilvl w:val="0"/>
          <w:numId w:val="6"/>
        </w:numPr>
        <w:rPr/>
      </w:pPr>
      <w:r>
        <w:rPr/>
        <w:t>Should Enron file a bankruptcy petition, NPNG, Pan Border and NBP Services Corp. should be excluded.  Otherwise maximum value for the NPNG’s stock may not be achieved.</w:t>
      </w:r>
    </w:p>
    <w:p>
      <w:pPr>
        <w:pStyle w:val="Normal"/>
        <w:rPr/>
      </w:pPr>
      <w:r>
        <w:rPr/>
      </w:r>
    </w:p>
    <w:p>
      <w:pPr>
        <w:pStyle w:val="Normal"/>
        <w:numPr>
          <w:ilvl w:val="0"/>
          <w:numId w:val="6"/>
        </w:numPr>
        <w:rPr/>
      </w:pPr>
      <w:r>
        <w:rPr/>
        <w:t>The attached memo describes the pertinent provisions in more detail.</w:t>
      </w:r>
      <w:r>
        <w:br w:type="page"/>
      </w:r>
    </w:p>
    <w:p>
      <w:pPr>
        <w:pStyle w:val="Heading3"/>
        <w:ind w:hanging="0" w:start="0"/>
        <w:rPr>
          <w:rFonts w:ascii="Times New Roman" w:hAnsi="Times New Roman" w:cs="Times New Roman"/>
          <w:sz w:val="24"/>
        </w:rPr>
      </w:pPr>
      <w:r>
        <w:rPr>
          <w:rFonts w:cs="Times New Roman" w:ascii="Times New Roman" w:hAnsi="Times New Roman"/>
          <w:sz w:val="24"/>
        </w:rPr>
        <w:t>CONFIDENTIAL AND PRIVILEGED</w:t>
      </w:r>
    </w:p>
    <w:p>
      <w:pPr>
        <w:pStyle w:val="Normal"/>
        <w:rPr/>
      </w:pPr>
      <w:r>
        <w:rPr/>
        <w:t>ATTORNEY/CLIENT PRIVILEGE</w:t>
      </w:r>
    </w:p>
    <w:p>
      <w:pPr>
        <w:pStyle w:val="Normal"/>
        <w:rPr>
          <w:u w:val="single"/>
        </w:rPr>
      </w:pPr>
      <w:r>
        <w:rPr>
          <w:u w:val="single"/>
        </w:rPr>
      </w:r>
    </w:p>
    <w:p>
      <w:pPr>
        <w:pStyle w:val="Normal"/>
        <w:rPr/>
      </w:pPr>
      <w:r>
        <w:rPr/>
        <w:t>TO:</w:t>
        <w:tab/>
        <w:t>Stan Horton</w:t>
      </w:r>
    </w:p>
    <w:p>
      <w:pPr>
        <w:pStyle w:val="Normal"/>
        <w:rPr/>
      </w:pPr>
      <w:r>
        <w:rPr/>
        <w:tab/>
        <w:t>Bill Cordes</w:t>
      </w:r>
    </w:p>
    <w:p>
      <w:pPr>
        <w:pStyle w:val="Normal"/>
        <w:rPr/>
      </w:pPr>
      <w:r>
        <w:rPr/>
        <w:tab/>
        <w:t>Jerry Peters</w:t>
      </w:r>
    </w:p>
    <w:p>
      <w:pPr>
        <w:pStyle w:val="Normal"/>
        <w:rPr/>
      </w:pPr>
      <w:r>
        <w:rPr/>
      </w:r>
    </w:p>
    <w:p>
      <w:pPr>
        <w:pStyle w:val="Normal"/>
        <w:rPr/>
      </w:pPr>
      <w:r>
        <w:rPr/>
      </w:r>
    </w:p>
    <w:p>
      <w:pPr>
        <w:pStyle w:val="Normal"/>
        <w:rPr/>
      </w:pPr>
      <w:r>
        <w:rPr/>
        <w:t>FR:</w:t>
        <w:tab/>
        <w:t>Janet K. Place</w:t>
      </w:r>
    </w:p>
    <w:p>
      <w:pPr>
        <w:pStyle w:val="Normal"/>
        <w:rPr>
          <w:bCs/>
        </w:rPr>
      </w:pPr>
      <w:r>
        <w:rPr>
          <w:bCs/>
        </w:rPr>
      </w:r>
    </w:p>
    <w:p>
      <w:pPr>
        <w:pStyle w:val="Normal"/>
        <w:rPr>
          <w:bCs/>
        </w:rPr>
      </w:pPr>
      <w:r>
        <w:rPr>
          <w:bCs/>
        </w:rPr>
        <w:t xml:space="preserve">This memo has been prepared to address several questions raised concerning the provisions of the applicable Partnership Agreements and Operating Agreements and how a transfer of general partnership interest may occur. </w:t>
      </w:r>
    </w:p>
    <w:p>
      <w:pPr>
        <w:pStyle w:val="Normal"/>
        <w:rPr>
          <w:bCs/>
        </w:rPr>
      </w:pPr>
      <w:r>
        <w:rPr>
          <w:bCs/>
        </w:rPr>
      </w:r>
    </w:p>
    <w:p>
      <w:pPr>
        <w:pStyle w:val="Heading4"/>
        <w:ind w:hanging="0" w:start="0"/>
        <w:rPr>
          <w:bCs/>
        </w:rPr>
      </w:pPr>
      <w:r>
        <w:rPr/>
        <w:t xml:space="preserve">Transfer of GP interest </w:t>
      </w:r>
    </w:p>
    <w:p>
      <w:pPr>
        <w:pStyle w:val="Normal"/>
        <w:rPr/>
      </w:pPr>
      <w:r>
        <w:rPr>
          <w:i/>
          <w:u w:val="single"/>
        </w:rPr>
        <w:t>(a) Northern Border Partners, LP Partnership Agreement</w:t>
      </w:r>
      <w:r>
        <w:rPr>
          <w:u w:val="single"/>
        </w:rPr>
        <w:t xml:space="preserve"> </w:t>
      </w:r>
    </w:p>
    <w:p>
      <w:pPr>
        <w:pStyle w:val="Normal"/>
        <w:numPr>
          <w:ilvl w:val="0"/>
          <w:numId w:val="7"/>
        </w:numPr>
        <w:rPr/>
      </w:pPr>
      <w:r>
        <w:rPr/>
        <w:t>Transfer of all the issued and outstanding capital stock of a General Partner is permissible and no consents are necessary.</w:t>
      </w:r>
    </w:p>
    <w:p>
      <w:pPr>
        <w:pStyle w:val="BodyText"/>
        <w:rPr>
          <w:sz w:val="24"/>
        </w:rPr>
      </w:pPr>
      <w:r>
        <w:rPr>
          <w:sz w:val="24"/>
        </w:rPr>
      </w:r>
    </w:p>
    <w:p>
      <w:pPr>
        <w:pStyle w:val="BodyText"/>
        <w:numPr>
          <w:ilvl w:val="0"/>
          <w:numId w:val="7"/>
        </w:numPr>
        <w:rPr>
          <w:sz w:val="24"/>
        </w:rPr>
      </w:pPr>
      <w:r>
        <w:rPr>
          <w:sz w:val="24"/>
        </w:rPr>
        <w:t>Transfer of Combined GP Interest (both Northern Border Partners, L. P. and Northern Border Intermediate Limited Partnership) to other than an Affiliate is governed by Section 11.2:</w:t>
      </w:r>
    </w:p>
    <w:p>
      <w:pPr>
        <w:pStyle w:val="BodyText"/>
        <w:ind w:hanging="360" w:start="1800" w:end="0"/>
        <w:rPr>
          <w:sz w:val="24"/>
        </w:rPr>
      </w:pPr>
      <w:r>
        <w:rPr>
          <w:sz w:val="24"/>
        </w:rPr>
        <w:t>a.</w:t>
        <w:tab/>
        <w:t>Notice to other General Partner (Williams), and Williams would have 30-days to submit an offer for the Combined Interest (and any other interests proposed to be sold).  The selling GP has no obligation to consider or accept any offers received from the non-selling GPs.  After 30 days, the selling GP can consummate the proposed transaction.  Under the Northern Border Pipeline Company Partnership Agreement, this same 30 day right to make an offer is available to TC PipeLines Intermediate Limited Partnership.</w:t>
      </w:r>
    </w:p>
    <w:p>
      <w:pPr>
        <w:pStyle w:val="BodyText"/>
        <w:numPr>
          <w:ilvl w:val="0"/>
          <w:numId w:val="3"/>
        </w:numPr>
        <w:rPr>
          <w:sz w:val="24"/>
        </w:rPr>
      </w:pPr>
      <w:r>
        <w:rPr>
          <w:sz w:val="24"/>
        </w:rPr>
        <w:t xml:space="preserve">Transfer by Northern Plains or Pan Border of its general partner interest prior to 12/31/03 requires the prior approval of a majority of the Outstanding Units. </w:t>
      </w:r>
    </w:p>
    <w:p>
      <w:pPr>
        <w:pStyle w:val="BodyText"/>
        <w:numPr>
          <w:ilvl w:val="0"/>
          <w:numId w:val="3"/>
        </w:numPr>
        <w:rPr>
          <w:sz w:val="24"/>
        </w:rPr>
      </w:pPr>
      <w:r>
        <w:rPr>
          <w:sz w:val="24"/>
        </w:rPr>
        <w:t>The transfer of less than all of a GP’s interest requires prior written consent of every other GP.</w:t>
      </w:r>
    </w:p>
    <w:p>
      <w:pPr>
        <w:pStyle w:val="BodyText"/>
        <w:numPr>
          <w:ilvl w:val="0"/>
          <w:numId w:val="3"/>
        </w:numPr>
        <w:rPr>
          <w:sz w:val="24"/>
        </w:rPr>
      </w:pPr>
      <w:r>
        <w:rPr>
          <w:sz w:val="24"/>
        </w:rPr>
        <w:t>No transfer shall be permitted unless:</w:t>
      </w:r>
    </w:p>
    <w:p>
      <w:pPr>
        <w:pStyle w:val="BodyText"/>
        <w:numPr>
          <w:ilvl w:val="0"/>
          <w:numId w:val="2"/>
        </w:numPr>
        <w:rPr>
          <w:sz w:val="24"/>
        </w:rPr>
      </w:pPr>
      <w:r>
        <w:rPr>
          <w:sz w:val="24"/>
        </w:rPr>
        <w:t>Transferee agrees to be bound by the NBP &amp; NBILP Partnership Agreements.</w:t>
      </w:r>
    </w:p>
    <w:p>
      <w:pPr>
        <w:pStyle w:val="BodyText"/>
        <w:numPr>
          <w:ilvl w:val="0"/>
          <w:numId w:val="2"/>
        </w:numPr>
        <w:rPr>
          <w:sz w:val="24"/>
        </w:rPr>
      </w:pPr>
      <w:r>
        <w:rPr>
          <w:sz w:val="24"/>
        </w:rPr>
        <w:t>Opinion of Counsel stating that no loss of limited liability of any LP and does not cause the NBP, NBILP or NBPL to be taxed as a corporation or an entity.</w:t>
      </w:r>
    </w:p>
    <w:p>
      <w:pPr>
        <w:pStyle w:val="BodyText"/>
        <w:numPr>
          <w:ilvl w:val="0"/>
          <w:numId w:val="2"/>
        </w:numPr>
        <w:rPr>
          <w:sz w:val="24"/>
        </w:rPr>
      </w:pPr>
      <w:r>
        <w:rPr>
          <w:sz w:val="24"/>
        </w:rPr>
        <w:t>Transferee agrees to purchase Combined Interest.</w:t>
      </w:r>
    </w:p>
    <w:p>
      <w:pPr>
        <w:pStyle w:val="BodyText"/>
        <w:numPr>
          <w:ilvl w:val="0"/>
          <w:numId w:val="3"/>
        </w:numPr>
        <w:rPr>
          <w:sz w:val="24"/>
        </w:rPr>
      </w:pPr>
      <w:r>
        <w:rPr>
          <w:sz w:val="24"/>
        </w:rPr>
        <w:t>Additional requirements pursuant to Section 13.1:</w:t>
      </w:r>
    </w:p>
    <w:p>
      <w:pPr>
        <w:pStyle w:val="BodyText"/>
        <w:numPr>
          <w:ilvl w:val="0"/>
          <w:numId w:val="8"/>
        </w:numPr>
        <w:rPr>
          <w:sz w:val="24"/>
        </w:rPr>
      </w:pPr>
      <w:r>
        <w:rPr>
          <w:sz w:val="24"/>
        </w:rPr>
        <w:t>an Event of Withdrawal includes (13.1(a)(ii)) “a General Partner notifies the other General Partners that it desires to transfer all of its rights as General Partner pursuant to Section 11.2.”</w:t>
      </w:r>
    </w:p>
    <w:p>
      <w:pPr>
        <w:pStyle w:val="BodyText"/>
        <w:numPr>
          <w:ilvl w:val="0"/>
          <w:numId w:val="8"/>
        </w:numPr>
        <w:rPr/>
      </w:pPr>
      <w:r>
        <w:rPr>
          <w:sz w:val="24"/>
        </w:rPr>
        <w:t>13.1(b) requires that it shall not constitute a breach of the Partnership Agreement if Event is prior to 12/31/03, a General Partner voluntarily withdraws by giving at least 90</w:t>
      </w:r>
      <w:r>
        <w:rPr/>
        <w:t xml:space="preserve"> days’ advance notice of its intention to withdraw to the Limited Partners, provided, that prior to the effective date of such withdrawal the withdrawal is approved by Limited Partners holding at least two-thirds of the Outstanding Units (excluding the units held by the Departing Partner and its Affiliates) and a Withdrawal Opinion of Counsel is delivered to the Partnership that such withdrawal (following the purchase by one or more of the remaining General Partners of the Combined Interest of such Departing Partner pursuant to Section 11.7(b) or the selection of a successor General Partner, as applicable) would not result in the loss of the limited liability of any Limited Partner or of the limited partner of the Intermediate Partnership or cause the Partnership, the Intermediate Partnership or Northern Border Pipeline to be treated as an association taxable as a corporation or otherwise to be taxed as an entity for federal income tax purposes.</w:t>
      </w:r>
    </w:p>
    <w:p>
      <w:pPr>
        <w:pStyle w:val="BodyText"/>
        <w:rPr/>
      </w:pPr>
      <w:r>
        <w:rPr/>
      </w:r>
    </w:p>
    <w:p>
      <w:pPr>
        <w:pStyle w:val="BodyText"/>
        <w:rPr>
          <w:i/>
          <w:i/>
          <w:iCs/>
          <w:u w:val="single"/>
        </w:rPr>
      </w:pPr>
      <w:r>
        <w:rPr>
          <w:i/>
          <w:iCs/>
          <w:u w:val="single"/>
        </w:rPr>
        <w:t>(b) Northern Border Intermediate Limited Partnership</w:t>
      </w:r>
    </w:p>
    <w:p>
      <w:pPr>
        <w:pStyle w:val="Normal"/>
        <w:numPr>
          <w:ilvl w:val="0"/>
          <w:numId w:val="7"/>
        </w:numPr>
        <w:rPr/>
      </w:pPr>
      <w:r>
        <w:rPr/>
        <w:t>Transfer of all the issued and outstanding capital stock of a General Partner is permissible and no consents are necessary.</w:t>
      </w:r>
    </w:p>
    <w:p>
      <w:pPr>
        <w:pStyle w:val="BodyText"/>
        <w:numPr>
          <w:ilvl w:val="0"/>
          <w:numId w:val="7"/>
        </w:numPr>
        <w:rPr>
          <w:sz w:val="24"/>
        </w:rPr>
      </w:pPr>
      <w:r>
        <w:rPr>
          <w:sz w:val="24"/>
        </w:rPr>
        <w:t>Any transfer by a General Partner of its partnership interest in the Northern Border Partners, L.P. shall contemporaneously transfer its general partnership interest in NBILP to the same transferee (in accordance with the Northern Border Partners, L.P. agreement).  Otherwise, a general partner may not transfer its interest in NBILP.</w:t>
      </w:r>
    </w:p>
    <w:p>
      <w:pPr>
        <w:pStyle w:val="BodyText"/>
        <w:rPr>
          <w:i/>
          <w:i/>
          <w:iCs/>
          <w:sz w:val="24"/>
        </w:rPr>
      </w:pPr>
      <w:r>
        <w:rPr>
          <w:i/>
          <w:iCs/>
          <w:sz w:val="24"/>
        </w:rPr>
      </w:r>
    </w:p>
    <w:p>
      <w:pPr>
        <w:pStyle w:val="BodyText"/>
        <w:rPr/>
      </w:pPr>
      <w:r>
        <w:rPr>
          <w:i/>
          <w:iCs/>
          <w:sz w:val="24"/>
        </w:rPr>
        <w:t>c.</w:t>
      </w:r>
      <w:r>
        <w:rPr>
          <w:i/>
          <w:iCs/>
          <w:sz w:val="24"/>
          <w:u w:val="single"/>
        </w:rPr>
        <w:t xml:space="preserve"> Northern Border Pipeline Company Partnership Agreement</w:t>
      </w:r>
    </w:p>
    <w:p>
      <w:pPr>
        <w:pStyle w:val="Normal"/>
        <w:numPr>
          <w:ilvl w:val="0"/>
          <w:numId w:val="4"/>
        </w:numPr>
        <w:rPr/>
      </w:pPr>
      <w:r>
        <w:rPr/>
        <w:t>There are restrictions on transfer of general partner interest but that interest is held by NBILP and TC PipeLines Intermediate Limited Partnership.</w:t>
      </w:r>
    </w:p>
    <w:p>
      <w:pPr>
        <w:pStyle w:val="Normal"/>
        <w:numPr>
          <w:ilvl w:val="0"/>
          <w:numId w:val="4"/>
        </w:numPr>
        <w:rPr/>
      </w:pPr>
      <w:r>
        <w:rPr/>
        <w:t xml:space="preserve">As mentioned above, a provision was added to mirror the right to make an offer in the NBP partnership agreement.  Section 10.6 </w:t>
      </w:r>
      <w:r>
        <w:rPr>
          <w:u w:val="single"/>
        </w:rPr>
        <w:t>Right to Make Offer</w:t>
      </w:r>
      <w:r>
        <w:rPr/>
        <w:t>, provides:</w:t>
      </w:r>
    </w:p>
    <w:p>
      <w:pPr>
        <w:pStyle w:val="Normal"/>
        <w:rPr/>
      </w:pPr>
      <w:r>
        <w:rPr/>
      </w:r>
    </w:p>
    <w:p>
      <w:pPr>
        <w:pStyle w:val="BodyTextIndent"/>
        <w:rPr>
          <w:sz w:val="24"/>
        </w:rPr>
      </w:pPr>
      <w:r>
        <w:rPr>
          <w:sz w:val="24"/>
        </w:rPr>
        <w:t>“</w:t>
      </w:r>
      <w:r>
        <w:rPr>
          <w:sz w:val="24"/>
        </w:rPr>
        <w:t>If a general partner of NBILP desires to transfer its general partnership interest in NBILP to a party other than an Affiliate of such general partner, such selling general partner of NBILP must first provide every other general partner of NBILP and the Partners [which are Northern Border Intermediate Limited Partnership and TC PipeLines Intermediate Limited Partnership] with notice of such intent to transfer and for a period of 30 days following the receipt by each non-selling general partner of NBILP and each Partner, each non-selling general partner of NBILP and each Partner shall have the right to submit an offer for the general partner interest of such selling general partner of NBILP (and any other interests in NBILP proposed to be sold by such selling general partner of NBILP).  Such selling general partner of NBILP shall have no obligation to consider or accept any offers received from the non-selling general partners of NBILP or the Partners and from and after such 30 day period, such selling general partner of NBILP shall be free to consummate the proposed transaction referred to in its notices to the non-selling general partners of NBILP and the Partners.”</w:t>
      </w:r>
    </w:p>
    <w:p>
      <w:pPr>
        <w:pStyle w:val="Normal"/>
        <w:rPr>
          <w:sz w:val="24"/>
        </w:rPr>
      </w:pPr>
      <w:r>
        <w:rPr>
          <w:sz w:val="24"/>
        </w:rPr>
      </w:r>
    </w:p>
    <w:p>
      <w:pPr>
        <w:pStyle w:val="Normal"/>
        <w:rPr>
          <w:i/>
          <w:i/>
          <w:iCs/>
          <w:u w:val="single"/>
        </w:rPr>
      </w:pPr>
      <w:r>
        <w:rPr>
          <w:i/>
          <w:iCs/>
          <w:u w:val="single"/>
        </w:rPr>
        <w:t>(d) Operating Agreements</w:t>
      </w:r>
    </w:p>
    <w:p>
      <w:pPr>
        <w:pStyle w:val="Normal"/>
        <w:numPr>
          <w:ilvl w:val="0"/>
          <w:numId w:val="5"/>
        </w:numPr>
        <w:rPr/>
      </w:pPr>
      <w:r>
        <w:rPr/>
        <w:t>Under the Northern Border Pipeline Company Partnership Agreement, Northern Plains Natural Gas Company is designated the Operator.  A separate Operating Agreement also exists between NBPL and Northern Plains.  Any assignment of the operating agreement requires consent by the Partnership.  There is no change in control provision in the Operating Agreement. The term of the agreement is 25 years from the in-service date of Northern Border and then year-to-year with either party having the right to terminate upon 6 months notice.</w:t>
      </w:r>
    </w:p>
    <w:p>
      <w:pPr>
        <w:pStyle w:val="Normal"/>
        <w:numPr>
          <w:ilvl w:val="0"/>
          <w:numId w:val="5"/>
        </w:numPr>
        <w:rPr/>
      </w:pPr>
      <w:r>
        <w:rPr/>
        <w:t xml:space="preserve">Under the Administrative Services Agreement for NBP Services Corporation, the agreement terminates on the date that Northern Plains and its affiliates cease to be a general partner of NBP and NBILP. </w:t>
      </w:r>
    </w:p>
    <w:p>
      <w:pPr>
        <w:pStyle w:val="Normal"/>
        <w:numPr>
          <w:ilvl w:val="0"/>
          <w:numId w:val="5"/>
        </w:numPr>
        <w:jc w:val="both"/>
        <w:rPr/>
      </w:pPr>
      <w:r>
        <w:rPr/>
        <w:t>Under the Operating Agreement between Northern Plains and Midwestern Gas Transmission Company, the term is 25 years from May 1, 2001 and the Operator has the right to terminate this Agreement upon 90 days written notice to Midwestern in the event that Midwestern ceases to be an affiliate of Northern Border Partners, L.P.  There is no change in control provision for Northern Plains. Any assignment of the operating agreement requires consent by MGT.</w:t>
      </w:r>
    </w:p>
    <w:p>
      <w:pPr>
        <w:pStyle w:val="Normal"/>
        <w:ind w:start="360" w:end="0"/>
        <w:rPr/>
      </w:pPr>
      <w:r>
        <w:rPr/>
      </w:r>
    </w:p>
    <w:p>
      <w:pPr>
        <w:pStyle w:val="Normal"/>
        <w:ind w:start="360" w:end="0"/>
        <w:rPr/>
      </w:pPr>
      <w:r>
        <w:rPr/>
      </w:r>
    </w:p>
    <w:p>
      <w:pPr>
        <w:pStyle w:val="Normal"/>
        <w:rPr>
          <w:i/>
          <w:i/>
          <w:iCs/>
          <w:u w:val="single"/>
        </w:rPr>
      </w:pPr>
      <w:r>
        <w:rPr>
          <w:i/>
          <w:iCs/>
          <w:u w:val="single"/>
        </w:rPr>
        <w:t>(e) Credit Facilities</w:t>
      </w:r>
    </w:p>
    <w:p>
      <w:pPr>
        <w:pStyle w:val="Normal"/>
        <w:rPr>
          <w:i/>
          <w:i/>
          <w:iCs/>
          <w:u w:val="single"/>
        </w:rPr>
      </w:pPr>
      <w:r>
        <w:rPr>
          <w:i/>
          <w:iCs/>
          <w:u w:val="single"/>
        </w:rPr>
      </w:r>
    </w:p>
    <w:p>
      <w:pPr>
        <w:pStyle w:val="Normal"/>
        <w:jc w:val="both"/>
        <w:rPr/>
      </w:pPr>
      <w:r>
        <w:rPr/>
        <w:t>Under the revolving credit agreement for Northern Border Partners, L.P. there is an event of default if there is a Change in Control.  Change in Control is defined as the failure of Subsidiaries of Enron Corp. and/or the Williams Companies to own general partner interest in Northern Border Partners, L.P and Northern Border Intermediate Limited Partnership such that the aggregate voting rights of such Person is greater than 50%.  An event of default of this agreement would be an event of default under the NBP indentures and hedge transactions.</w:t>
      </w:r>
    </w:p>
    <w:p>
      <w:pPr>
        <w:pStyle w:val="Normal"/>
        <w:ind w:start="360" w:end="0"/>
        <w:rPr/>
      </w:pPr>
      <w:r>
        <w:rPr/>
      </w:r>
    </w:p>
    <w:p>
      <w:pPr>
        <w:pStyle w:val="Normal"/>
        <w:ind w:start="360" w:end="0"/>
        <w:rPr/>
      </w:pPr>
      <w:r>
        <w:rPr/>
      </w:r>
    </w:p>
    <w:p>
      <w:pPr>
        <w:pStyle w:val="Normal"/>
        <w:ind w:start="360" w:end="0"/>
        <w:rPr/>
      </w:pPr>
      <w:r>
        <w:rPr/>
      </w:r>
    </w:p>
    <w:p>
      <w:pPr>
        <w:pStyle w:val="BodyText"/>
        <w:rPr>
          <w:i/>
          <w:i/>
          <w:iCs/>
          <w:u w:val="single"/>
        </w:rPr>
      </w:pPr>
      <w:r>
        <w:rPr>
          <w:i/>
          <w:iCs/>
          <w:u w:val="single"/>
        </w:rPr>
        <w:t>2.  Effects of a Bankruptcy Proceeding</w:t>
      </w:r>
    </w:p>
    <w:p>
      <w:pPr>
        <w:pStyle w:val="BodyText"/>
        <w:rPr>
          <w:i/>
          <w:i/>
          <w:iCs/>
          <w:u w:val="single"/>
        </w:rPr>
      </w:pPr>
      <w:r>
        <w:rPr>
          <w:i/>
          <w:iCs/>
          <w:u w:val="single"/>
        </w:rPr>
      </w:r>
    </w:p>
    <w:p>
      <w:pPr>
        <w:pStyle w:val="BodyText"/>
        <w:rPr>
          <w:sz w:val="24"/>
        </w:rPr>
      </w:pPr>
      <w:r>
        <w:rPr>
          <w:sz w:val="24"/>
        </w:rPr>
        <w:t xml:space="preserve">While it is not certain that a bankruptcy filing by Enron would include Northern Plains, Pan Border and NBP Services Corporation, there are immediate impacts if it should include Northern Plains/Pan Border. </w:t>
      </w:r>
    </w:p>
    <w:p>
      <w:pPr>
        <w:pStyle w:val="BodyText"/>
        <w:rPr>
          <w:sz w:val="24"/>
        </w:rPr>
      </w:pPr>
      <w:r>
        <w:rPr>
          <w:sz w:val="24"/>
        </w:rPr>
      </w:r>
    </w:p>
    <w:p>
      <w:pPr>
        <w:pStyle w:val="Normal"/>
        <w:tabs>
          <w:tab w:val="left" w:pos="720" w:leader="none"/>
          <w:tab w:val="left" w:pos="10368" w:leader="none"/>
        </w:tabs>
        <w:spacing w:lineRule="exact" w:line="240"/>
        <w:jc w:val="both"/>
        <w:rPr>
          <w:szCs w:val="20"/>
        </w:rPr>
      </w:pPr>
      <w:r>
        <w:rPr/>
        <w:t>Under the NBP partnership agreement, an Event of Withdrawal occurs if a General Partner files for voluntary bankruptcy, reorganization, or other similar relief.  The withdrawing General Partner must give notice to the limited partners within 30 days. If an Event of Withdrawal occurs, then upon written notice to the Partnership and the Departing Partner, the remaining General Partner (Williams) shall have the right to purchase all of the Combined Interest of the Departing Partner for an amount equal to fair market value. In this instance, fair market value is deemed to be equal the product of (x) such Departing Partner’s Gross General Partner Percentage Interest and (y) an amount equal to the Hypothetical Equity Value of the Partnership as of the effective date of departure.  In the Partnership Agreement, Gross General Partner Percentage Interest “means, with respect to a Departing Partner, an amount equal to the sum of (a) the product of such Departing Partner's General Partner Percentage Interest (expressed as a decimal) and .9899 and (b) such Departing Partner's general partner percentage interest in the Intermediate Partnership”.  Northern Plains and Pan Border Gross General Partner Percentage Interests would be equal to 1.65% [(0.00825 x.9899) + .008333 = 0.0165] and “</w:t>
      </w:r>
      <w:r>
        <w:rPr>
          <w:bCs/>
        </w:rPr>
        <w:t>Hypothetical Equity Value”</w:t>
      </w:r>
      <w:r>
        <w:rPr>
          <w:i/>
        </w:rPr>
        <w:t xml:space="preserve"> </w:t>
      </w:r>
      <w:r>
        <w:rPr/>
        <w:t>means, as of the date of determination, an amount equal to the product obtained from the following formula:</w:t>
      </w:r>
    </w:p>
    <w:p>
      <w:pPr>
        <w:pStyle w:val="Normal"/>
        <w:tabs>
          <w:tab w:val="clear" w:pos="720"/>
          <w:tab w:val="left" w:pos="10368" w:leader="none"/>
        </w:tabs>
        <w:spacing w:lineRule="exact" w:line="240"/>
        <w:rPr>
          <w:szCs w:val="20"/>
        </w:rPr>
      </w:pPr>
      <w:r>
        <w:rPr>
          <w:szCs w:val="20"/>
        </w:rPr>
      </w:r>
    </w:p>
    <w:p>
      <w:pPr>
        <w:pStyle w:val="Normal"/>
        <w:tabs>
          <w:tab w:val="clear" w:pos="720"/>
          <w:tab w:val="left" w:pos="10368" w:leader="none"/>
        </w:tabs>
        <w:spacing w:lineRule="exact" w:line="240"/>
        <w:jc w:val="center"/>
        <w:rPr>
          <w:szCs w:val="20"/>
        </w:rPr>
      </w:pPr>
      <w:r>
        <w:rPr/>
        <w:t>1.0101 x [TCUO] x [1/PCU] x CMP</w:t>
      </w:r>
    </w:p>
    <w:p>
      <w:pPr>
        <w:pStyle w:val="Normal"/>
        <w:tabs>
          <w:tab w:val="clear" w:pos="720"/>
          <w:tab w:val="left" w:pos="10368" w:leader="none"/>
        </w:tabs>
        <w:spacing w:lineRule="exact" w:line="240"/>
        <w:rPr>
          <w:szCs w:val="20"/>
        </w:rPr>
      </w:pPr>
      <w:r>
        <w:rPr>
          <w:szCs w:val="20"/>
        </w:rPr>
      </w:r>
    </w:p>
    <w:p>
      <w:pPr>
        <w:pStyle w:val="Normal"/>
        <w:tabs>
          <w:tab w:val="clear" w:pos="720"/>
          <w:tab w:val="left" w:pos="10368" w:leader="none"/>
        </w:tabs>
        <w:spacing w:lineRule="exact" w:line="240"/>
        <w:jc w:val="both"/>
        <w:rPr/>
      </w:pPr>
      <w:r>
        <w:rPr/>
        <w:t xml:space="preserve">where such symbols have the following meanings as of the date of determination: (a) "TCUO" means the total number of Common Units Outstanding, (b) "PCU" means the product, expressed as a decimal, of (i) the total number of Common Units Outstanding divided by the total number of Units Outstanding and (ii) .9899 and (c) CMP means the Current Market Price as of such date (as such term is defined in Section 17.1(a)).  </w:t>
      </w:r>
    </w:p>
    <w:p>
      <w:pPr>
        <w:pStyle w:val="Normal"/>
        <w:tabs>
          <w:tab w:val="clear" w:pos="720"/>
          <w:tab w:val="left" w:pos="10368" w:leader="none"/>
        </w:tabs>
        <w:spacing w:lineRule="exact" w:line="240"/>
        <w:jc w:val="both"/>
        <w:rPr/>
      </w:pPr>
      <w:r>
        <w:rPr/>
      </w:r>
    </w:p>
    <w:p>
      <w:pPr>
        <w:pStyle w:val="Normal"/>
        <w:tabs>
          <w:tab w:val="clear" w:pos="720"/>
          <w:tab w:val="left" w:pos="10368" w:leader="none"/>
        </w:tabs>
        <w:spacing w:lineRule="exact" w:line="240"/>
        <w:jc w:val="both"/>
        <w:rPr>
          <w:szCs w:val="20"/>
        </w:rPr>
      </w:pPr>
      <w:r>
        <w:rPr/>
        <w:t>If the Current Market Price is $39.00 then the Hypothetical Equity Value is equal to $1,656,422,721 (1.0101 x 41,623,014 x (1/(41,623,014/41,613,014 x .9899)) x $39.00.  Thus, the Fair Market Value of the Departing Partners General Partnership Interest would be $27,330,975 [$1,656,422,721 x 1.65%].</w:t>
      </w:r>
    </w:p>
    <w:p>
      <w:pPr>
        <w:pStyle w:val="BodyText"/>
        <w:rPr>
          <w:sz w:val="24"/>
          <w:szCs w:val="20"/>
        </w:rPr>
      </w:pPr>
      <w:r>
        <w:rPr>
          <w:sz w:val="24"/>
          <w:szCs w:val="20"/>
        </w:rPr>
      </w:r>
    </w:p>
    <w:p>
      <w:pPr>
        <w:pStyle w:val="BodyText"/>
        <w:rPr>
          <w:sz w:val="24"/>
        </w:rPr>
      </w:pPr>
      <w:r>
        <w:rPr>
          <w:sz w:val="24"/>
        </w:rPr>
        <w:t>If Williams should not elect to purchase the Combined Interest as described above, then holders of at least a majority of the Outstanding Units (excluding for purposes of such determination Units owned by the Departing Partner and its Affiliates) may, prior to the effective date of such withdrawal, elect a successor General Partner.  The Person so elected as successor General Partner shall automatically become a successor general partner of the Intermediate Partnership, as provided in the Intermediate Partnership Agreement.  If, prior to the effective date of a General Partner’s withdrawal, one or more of the remaining General Partners have not elected to purchase the Combined Interest of such Departing Partner and a successor is not selected by the LPs or the Partnership does not receive a Withdrawal Opinion of Counsel, the Partnership shall be dissolved.</w:t>
      </w:r>
    </w:p>
    <w:p>
      <w:pPr>
        <w:pStyle w:val="Normal"/>
        <w:rPr>
          <w:sz w:val="24"/>
        </w:rPr>
      </w:pPr>
      <w:r>
        <w:rPr>
          <w:sz w:val="24"/>
        </w:rPr>
      </w:r>
    </w:p>
    <w:p>
      <w:pPr>
        <w:pStyle w:val="Normal"/>
        <w:rPr/>
      </w:pPr>
      <w:r>
        <w:rPr/>
        <w:t xml:space="preserve">This memorandum is intended to provide an overview and more in depth review of the provisions in light of any intended transaction would be needed. </w:t>
      </w:r>
    </w:p>
    <w:sectPr>
      <w:type w:val="nextPage"/>
      <w:pgSz w:w="12240" w:h="15840"/>
      <w:pgMar w:left="180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880"/>
        </w:tabs>
        <w:ind w:start="2880" w:hanging="360"/>
      </w:pPr>
      <w:rPr>
        <w:rFonts w:ascii="Symbol" w:hAnsi="Symbol" w:cs="Symbol" w:hint="default"/>
      </w:rPr>
    </w:lvl>
  </w:abstractNum>
  <w:abstractNum w:abstractNumId="3">
    <w:lvl w:ilvl="0">
      <w:start w:val="2"/>
      <w:numFmt w:val="lowerLetter"/>
      <w:lvlText w:val="%1."/>
      <w:lvlJc w:val="start"/>
      <w:pPr>
        <w:tabs>
          <w:tab w:val="num" w:pos="1800"/>
        </w:tabs>
        <w:ind w:start="1800" w:hanging="360"/>
      </w:pPr>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2880"/>
        </w:tabs>
        <w:ind w:start="28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i/>
      <w:sz w:val="22"/>
      <w:szCs w:val="20"/>
    </w:rPr>
  </w:style>
  <w:style w:type="paragraph" w:styleId="Heading2">
    <w:name w:val="heading 2"/>
    <w:basedOn w:val="Normal"/>
    <w:next w:val="Normal"/>
    <w:qFormat/>
    <w:pPr>
      <w:keepNext w:val="true"/>
      <w:numPr>
        <w:ilvl w:val="1"/>
        <w:numId w:val="1"/>
      </w:numPr>
      <w:outlineLvl w:val="1"/>
    </w:pPr>
    <w:rPr>
      <w:rFonts w:ascii="Arial" w:hAnsi="Arial" w:cs="Arial"/>
      <w:i/>
      <w:sz w:val="20"/>
      <w:szCs w:val="20"/>
    </w:rPr>
  </w:style>
  <w:style w:type="paragraph" w:styleId="Heading3">
    <w:name w:val="heading 3"/>
    <w:basedOn w:val="Normal"/>
    <w:next w:val="Normal"/>
    <w:qFormat/>
    <w:pPr>
      <w:keepNext w:val="true"/>
      <w:numPr>
        <w:ilvl w:val="2"/>
        <w:numId w:val="1"/>
      </w:numPr>
      <w:outlineLvl w:val="2"/>
    </w:pPr>
    <w:rPr>
      <w:rFonts w:ascii="Arial" w:hAnsi="Arial" w:cs="Arial"/>
      <w:sz w:val="22"/>
      <w:u w:val="single"/>
    </w:rPr>
  </w:style>
  <w:style w:type="paragraph" w:styleId="Heading4">
    <w:name w:val="heading 4"/>
    <w:basedOn w:val="Normal"/>
    <w:next w:val="Normal"/>
    <w:qFormat/>
    <w:pPr>
      <w:keepNext w:val="true"/>
      <w:numPr>
        <w:ilvl w:val="3"/>
        <w:numId w:val="1"/>
      </w:numPr>
      <w:outlineLvl w:val="3"/>
    </w:pPr>
    <w:rPr>
      <w:b/>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i/>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9z0">
    <w:name w:val="WW8Num29z0"/>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szCs w:val="20"/>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Arial" w:hAnsi="Arial" w:cs="Arial"/>
      <w:b/>
      <w:szCs w:val="20"/>
      <w:u w:val="single"/>
    </w:rPr>
  </w:style>
  <w:style w:type="paragraph" w:styleId="BodyTextIndent">
    <w:name w:val="Body Text Indent"/>
    <w:basedOn w:val="Normal"/>
    <w:pPr>
      <w:ind w:hanging="0" w:start="72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2001-11-20T17:41:00Z</dcterms:created>
  <dc:creator>jplace</dc:creator>
  <dc:description/>
  <dc:language>en-CA</dc:language>
  <cp:lastModifiedBy>jplace</cp:lastModifiedBy>
  <dcterms:modified xsi:type="dcterms:W3CDTF">2001-11-27T17:00:00Z</dcterms:modified>
  <cp:revision>9</cp:revision>
  <dc:subject/>
  <dc:title>CONFIDENTIAL AND PRIVILEGED</dc:title>
</cp:coreProperties>
</file>