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sz w:val="32"/>
          <w:szCs w:val="32"/>
        </w:rPr>
        <w:t>Memo:</w:t>
      </w:r>
    </w:p>
    <w:p>
      <w:pPr>
        <w:pStyle w:val="Normal"/>
        <w:rPr/>
      </w:pPr>
      <w:r>
        <w:rPr/>
      </w:r>
    </w:p>
    <w:p>
      <w:pPr>
        <w:pStyle w:val="Normal"/>
        <w:rPr/>
      </w:pPr>
      <w:r>
        <w:rPr/>
        <w:t>July 11, 2001</w:t>
      </w:r>
    </w:p>
    <w:p>
      <w:pPr>
        <w:pStyle w:val="Normal"/>
        <w:rPr/>
      </w:pPr>
      <w:r>
        <w:rPr/>
      </w:r>
    </w:p>
    <w:p>
      <w:pPr>
        <w:pStyle w:val="Normal"/>
        <w:rPr/>
      </w:pPr>
      <w:r>
        <w:rPr/>
        <w:t>To:</w:t>
        <w:tab/>
        <w:t>Andrew Bell, PG&amp;E</w:t>
      </w:r>
    </w:p>
    <w:p>
      <w:pPr>
        <w:pStyle w:val="Normal"/>
        <w:rPr/>
      </w:pPr>
      <w:r>
        <w:rPr/>
      </w:r>
    </w:p>
    <w:p>
      <w:pPr>
        <w:pStyle w:val="Normal"/>
        <w:rPr/>
      </w:pPr>
      <w:r>
        <w:rPr/>
        <w:t>From:</w:t>
        <w:tab/>
        <w:t>Mukesh Khattar</w:t>
      </w:r>
    </w:p>
    <w:p>
      <w:pPr>
        <w:pStyle w:val="Normal"/>
        <w:rPr/>
      </w:pPr>
      <w:r>
        <w:rPr/>
      </w:r>
    </w:p>
    <w:p>
      <w:pPr>
        <w:pStyle w:val="Normal"/>
        <w:ind w:hanging="720" w:start="720" w:end="0"/>
        <w:rPr/>
      </w:pPr>
      <w:r>
        <w:rPr/>
        <w:t>Copy:</w:t>
        <w:tab/>
        <w:t>Roland Risser, PG&amp;E; Commissioner Rosenfeld, CEC; John Wilson, CEC; Jim Price, CAISO; Justin Bradley, SVMG; Joe Desmund, SVMG Energy Committee Co-Chair</w:t>
      </w:r>
    </w:p>
    <w:p>
      <w:pPr>
        <w:pStyle w:val="Normal"/>
        <w:rPr/>
      </w:pPr>
      <w:r>
        <w:rPr/>
      </w:r>
    </w:p>
    <w:p>
      <w:pPr>
        <w:pStyle w:val="Normal"/>
        <w:rPr/>
      </w:pPr>
      <w:r>
        <w:rPr/>
        <w:t xml:space="preserve">Sub: </w:t>
        <w:tab/>
        <w:t>High Reliability Option under RTP tariff filing with CPUC.</w:t>
      </w:r>
    </w:p>
    <w:p>
      <w:pPr>
        <w:pStyle w:val="Normal"/>
        <w:rPr/>
      </w:pPr>
      <w:r>
        <w:rPr/>
      </w:r>
    </w:p>
    <w:p>
      <w:pPr>
        <w:pStyle w:val="Normal"/>
        <w:rPr/>
      </w:pPr>
      <w:r>
        <w:rPr/>
        <w:t>At the CPUC workshop last Monday, CEC Commissioner Rosenfeld and I talked to you about the High Reliability Option (HRO) under the proposed Real Time Pricing (RTP) Tariff filing with CPUC.</w:t>
      </w:r>
    </w:p>
    <w:p>
      <w:pPr>
        <w:pStyle w:val="Normal"/>
        <w:rPr/>
      </w:pPr>
      <w:r>
        <w:rPr/>
      </w:r>
    </w:p>
    <w:p>
      <w:pPr>
        <w:pStyle w:val="Normal"/>
        <w:rPr/>
      </w:pPr>
      <w:r>
        <w:rPr/>
        <w:t>As I can recall, your primary concern (and that of the other utilities as far as I could gather during the discussion) was that when the utility gets a call from ISO for demand curtailment, you want to have reliable means of getting that curtailment at that time. And if the customer has already curtailed (based on either RTP price signal or CAISO alerts, etc.) prior to getting the call from the utility, then you can not count on the curtailment after getting the call for curtailment under stage 3. Of course if the customer under HRO has not curtailed by that time, it would be forced to curtail or pay not only high real time rates but also punitive $5.00 per kWh.</w:t>
      </w:r>
    </w:p>
    <w:p>
      <w:pPr>
        <w:pStyle w:val="Normal"/>
        <w:rPr/>
      </w:pPr>
      <w:r>
        <w:rPr/>
      </w:r>
    </w:p>
    <w:p>
      <w:pPr>
        <w:pStyle w:val="Normal"/>
        <w:rPr/>
      </w:pPr>
      <w:r>
        <w:rPr/>
        <w:t>We had discussed the possibility of exploring some new incentives for the utilities that will be more restrictive on the customers to insure compliance. One idea that was explored that these customers must curtail an additional amount at Stage 3 when ISO calls for curtailment to ensure that the utility can count on some demand relief from these customers when some customers are being subjected to the rolling blackout. Although this idea may be appealing, it has the some fundamental flaw. It would not encourage to voluntarily curtail demand and wait for the signal from utility before giving up the load. However, if the HRO does not require to additional demand after when ISO curtailment calls come, the same customer may curtail the that amount of demand ahead of getting the call, and perhaps with many participants, the call for rolling blackouts may be completely avoided.</w:t>
      </w:r>
    </w:p>
    <w:p>
      <w:pPr>
        <w:pStyle w:val="Normal"/>
        <w:rPr/>
      </w:pPr>
      <w:r>
        <w:rPr/>
      </w:r>
    </w:p>
    <w:p>
      <w:pPr>
        <w:pStyle w:val="Normal"/>
        <w:rPr/>
      </w:pPr>
      <w:r>
        <w:rPr/>
        <w:t>The utilities should not try to link the OBMC with HRO under RTP. The OBMC is just a reference. The OBMC participants do not have incentives, but significant disincentives, to curtail prior to curtailment request and wait for the call, whereas the HRO customers have no disincentives, but actual incentives, of curtailing demand prior to the call. And we want more demand relief prior to that dreaded call. And the more customers we can get on the program, more demand relief will be available. And as Jim Price from CAISO mentioned at the meeting, this could avoid the need for a call for rolling blackouts!</w:t>
      </w:r>
    </w:p>
    <w:p>
      <w:pPr>
        <w:pStyle w:val="Normal"/>
        <w:rPr/>
      </w:pPr>
      <w:r>
        <w:rPr/>
      </w:r>
    </w:p>
    <w:p>
      <w:pPr>
        <w:pStyle w:val="Normal"/>
        <w:rPr/>
      </w:pPr>
      <w:r>
        <w:rPr/>
        <w:t>CAISO certainly prefers curtailment prior to the call, as stated by Jim Price at the meeting. If the curtailment is prior to the call, the need for the call may be eliminated, or the amount requested to be curtailed will be reduced. In any case it benefits all customers and rate payers.</w:t>
      </w:r>
    </w:p>
    <w:p>
      <w:pPr>
        <w:pStyle w:val="Normal"/>
        <w:rPr/>
      </w:pPr>
      <w:r>
        <w:rPr/>
      </w:r>
    </w:p>
    <w:p>
      <w:pPr>
        <w:pStyle w:val="Normal"/>
        <w:rPr/>
      </w:pPr>
      <w:r>
        <w:rPr/>
        <w:t xml:space="preserve">To put concept of prior and after the call in perspective, consider the situation on July 3. The OBMC customers were called to be on standby and wait for the call to curtail. They remained in suspense whether to curtail or not. Any voluntary action could hurt by reducing baseline if the call did not materialize! But if all that demand is curtailed (which is ~30MW for PG&amp;E’s OBMC customers for the first 5%, and even more if some customers volunteer to curtail even more) prior to the call, imagine the need to blackout 3 to 4 distribution circuits would be avoided. </w:t>
      </w:r>
    </w:p>
    <w:p>
      <w:pPr>
        <w:pStyle w:val="Normal"/>
        <w:rPr/>
      </w:pPr>
      <w:r>
        <w:rPr/>
      </w:r>
    </w:p>
    <w:p>
      <w:pPr>
        <w:pStyle w:val="Normal"/>
        <w:rPr/>
      </w:pPr>
      <w:r>
        <w:rPr/>
        <w:t xml:space="preserve">The HRO is designed to get more customers on board, and provide you with even a larger base to draw upon load reduction than just the OBMC customers. </w:t>
      </w:r>
    </w:p>
    <w:p>
      <w:pPr>
        <w:pStyle w:val="Normal"/>
        <w:rPr/>
      </w:pPr>
      <w:r>
        <w:rPr/>
      </w:r>
    </w:p>
    <w:p>
      <w:pPr>
        <w:pStyle w:val="Normal"/>
        <w:rPr/>
      </w:pPr>
      <w:r>
        <w:rPr/>
        <w:t xml:space="preserve">I hope you would consider these points and reconsider your opposition to the HRO. </w:t>
      </w:r>
    </w:p>
    <w:p>
      <w:pPr>
        <w:pStyle w:val="Normal"/>
        <w:rPr/>
      </w:pPr>
      <w:r>
        <w:rPr/>
      </w:r>
    </w:p>
    <w:p>
      <w:pPr>
        <w:pStyle w:val="Normal"/>
        <w:rPr/>
      </w:pPr>
      <w:r>
        <w:rPr/>
        <w:t>We are, of course, open to other ideas and suggestion you may have.</w:t>
      </w:r>
    </w:p>
    <w:p>
      <w:pPr>
        <w:pStyle w:val="Normal"/>
        <w:rPr/>
      </w:pPr>
      <w:r>
        <w:rPr/>
      </w:r>
    </w:p>
    <w:p>
      <w:pPr>
        <w:pStyle w:val="Normal"/>
        <w:rPr/>
      </w:pPr>
      <w:r>
        <w:rPr/>
        <w:t>Thank you.</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2001-07-13T21:06:00Z</dcterms:created>
  <dc:creator>Oracle Corp</dc:creator>
  <dc:description/>
  <dc:language>en-CA</dc:language>
  <cp:lastModifiedBy>Administrator</cp:lastModifiedBy>
  <dcterms:modified xsi:type="dcterms:W3CDTF">2001-07-13T21:06:00Z</dcterms:modified>
  <cp:revision>2</cp:revision>
  <dc:subject/>
  <dc:title>Memo:</dc:title>
</cp:coreProperties>
</file>