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CTitle"/>
        <w:rPr/>
      </w:pPr>
      <w:r>
        <w:rPr/>
        <w:t>SULLIVAN &amp; CROMWELL</w:t>
      </w:r>
    </w:p>
    <w:p>
      <w:pPr>
        <w:pStyle w:val="Date"/>
        <w:rPr/>
      </w:pPr>
      <w:r>
        <w:rPr/>
        <w:t>August 29, 2001</w:t>
      </w:r>
    </w:p>
    <w:tbl>
      <w:tblPr>
        <w:tblW w:w="8640" w:type="dxa"/>
        <w:jc w:val="start"/>
        <w:tblInd w:w="0" w:type="dxa"/>
        <w:tblLayout w:type="fixed"/>
        <w:tblCellMar>
          <w:top w:w="0" w:type="dxa"/>
          <w:start w:w="0" w:type="dxa"/>
          <w:bottom w:w="0" w:type="dxa"/>
          <w:end w:w="0" w:type="dxa"/>
        </w:tblCellMar>
      </w:tblPr>
      <w:tblGrid>
        <w:gridCol w:w="2290"/>
        <w:gridCol w:w="187"/>
        <w:gridCol w:w="6163"/>
      </w:tblGrid>
      <w:tr>
        <w:trPr>
          <w:trHeight w:val="403" w:hRule="atLeast"/>
        </w:trPr>
        <w:tc>
          <w:tcPr>
            <w:tcW w:w="2290" w:type="dxa"/>
            <w:tcBorders/>
          </w:tcPr>
          <w:p>
            <w:pPr>
              <w:pStyle w:val="LeftColumn"/>
              <w:rPr/>
            </w:pPr>
            <w:r>
              <w:rPr/>
              <w:t>MEMORANDUM TO:</w:t>
            </w:r>
          </w:p>
        </w:tc>
        <w:tc>
          <w:tcPr>
            <w:tcW w:w="187" w:type="dxa"/>
            <w:tcBorders/>
          </w:tcPr>
          <w:p>
            <w:pPr>
              <w:pStyle w:val="Normal"/>
              <w:snapToGrid w:val="false"/>
              <w:rPr/>
            </w:pPr>
            <w:r>
              <w:rPr/>
            </w:r>
          </w:p>
        </w:tc>
        <w:tc>
          <w:tcPr>
            <w:tcW w:w="6163" w:type="dxa"/>
            <w:tcBorders/>
          </w:tcPr>
          <w:p>
            <w:pPr>
              <w:pStyle w:val="To"/>
              <w:spacing w:before="0" w:after="240"/>
              <w:rPr/>
            </w:pPr>
            <w:r>
              <w:rPr/>
              <w:t>Mark E. Taylor</w:t>
              <w:br/>
              <w:t xml:space="preserve">(Enron Wholesale Services) </w:t>
            </w:r>
          </w:p>
        </w:tc>
      </w:tr>
      <w:tr>
        <w:trPr>
          <w:trHeight w:val="403" w:hRule="atLeast"/>
        </w:trPr>
        <w:tc>
          <w:tcPr>
            <w:tcW w:w="2290" w:type="dxa"/>
            <w:tcBorders/>
          </w:tcPr>
          <w:p>
            <w:pPr>
              <w:pStyle w:val="LeftColumn"/>
              <w:rPr/>
            </w:pPr>
            <w:r>
              <w:rPr/>
              <w:t>FROM:</w:t>
            </w:r>
          </w:p>
        </w:tc>
        <w:tc>
          <w:tcPr>
            <w:tcW w:w="187" w:type="dxa"/>
            <w:tcBorders/>
          </w:tcPr>
          <w:p>
            <w:pPr>
              <w:pStyle w:val="Normal"/>
              <w:snapToGrid w:val="false"/>
              <w:rPr/>
            </w:pPr>
            <w:r>
              <w:rPr/>
            </w:r>
          </w:p>
        </w:tc>
        <w:tc>
          <w:tcPr>
            <w:tcW w:w="6163" w:type="dxa"/>
            <w:tcBorders/>
          </w:tcPr>
          <w:p>
            <w:pPr>
              <w:pStyle w:val="From"/>
              <w:rPr/>
            </w:pPr>
            <w:r>
              <w:rPr/>
              <w:t>Kenneth M. Raisler</w:t>
            </w:r>
          </w:p>
        </w:tc>
      </w:tr>
      <w:tr>
        <w:trPr>
          <w:trHeight w:val="240" w:hRule="atLeast"/>
        </w:trPr>
        <w:tc>
          <w:tcPr>
            <w:tcW w:w="2290" w:type="dxa"/>
            <w:tcBorders/>
          </w:tcPr>
          <w:p>
            <w:pPr>
              <w:pStyle w:val="LeftColumn"/>
              <w:rPr/>
            </w:pPr>
            <w:r>
              <w:rPr/>
              <w:t>RE:</w:t>
            </w:r>
          </w:p>
        </w:tc>
        <w:tc>
          <w:tcPr>
            <w:tcW w:w="187" w:type="dxa"/>
            <w:tcBorders/>
          </w:tcPr>
          <w:p>
            <w:pPr>
              <w:pStyle w:val="Normal"/>
              <w:snapToGrid w:val="false"/>
              <w:rPr>
                <w:u w:val="single"/>
              </w:rPr>
            </w:pPr>
            <w:r>
              <w:rPr>
                <w:u w:val="single"/>
              </w:rPr>
            </w:r>
          </w:p>
        </w:tc>
        <w:tc>
          <w:tcPr>
            <w:tcW w:w="6163" w:type="dxa"/>
            <w:tcBorders/>
          </w:tcPr>
          <w:p>
            <w:pPr>
              <w:pStyle w:val="Subject"/>
              <w:rPr>
                <w:u w:val="single"/>
              </w:rPr>
            </w:pPr>
            <w:r>
              <w:rPr>
                <w:u w:val="single"/>
              </w:rPr>
              <w:t>Enron OnLine (EOL) Expansion</w:t>
            </w:r>
          </w:p>
        </w:tc>
      </w:tr>
    </w:tbl>
    <w:p>
      <w:pPr>
        <w:pStyle w:val="Normal"/>
        <w:rPr/>
      </w:pPr>
      <w:r>
        <w:rPr/>
      </w:r>
    </w:p>
    <w:p>
      <w:pPr>
        <w:pStyle w:val="BodyText"/>
        <w:jc w:val="both"/>
        <w:rPr/>
      </w:pPr>
      <w:r>
        <w:rPr/>
        <w:t>We have discussed expanding EOL to permit third-parties to post bids or offers on EOL provided that the bids or offers are between Enron’s posted bid and offer price.  In the event that an EOL participant hits or lifts the third-party’s bid or offer, Enron would be the counterparty to both sides of the trade.  This expansion of the EOL service raises two related issues under the Commodity Exchange Act:</w:t>
      </w:r>
    </w:p>
    <w:p>
      <w:pPr>
        <w:pStyle w:val="BodyText2"/>
        <w:numPr>
          <w:ilvl w:val="0"/>
          <w:numId w:val="12"/>
        </w:numPr>
        <w:jc w:val="both"/>
        <w:rPr/>
      </w:pPr>
      <w:r>
        <w:rPr/>
        <w:t>Whether Enron is providing a clearing service that requires it to register as a Derivatives Clearing Organization (DCO);</w:t>
      </w:r>
    </w:p>
    <w:p>
      <w:pPr>
        <w:pStyle w:val="BodyText2"/>
        <w:numPr>
          <w:ilvl w:val="0"/>
          <w:numId w:val="12"/>
        </w:numPr>
        <w:jc w:val="both"/>
        <w:rPr/>
      </w:pPr>
      <w:r>
        <w:rPr/>
        <w:t>Whether this expansion makes EOL a “trading facility” that needs to register as an Exempt Commercial Market (ECM)</w:t>
      </w:r>
    </w:p>
    <w:p>
      <w:pPr>
        <w:pStyle w:val="BodyText"/>
        <w:ind w:hanging="0" w:start="1440" w:end="0"/>
        <w:jc w:val="both"/>
        <w:rPr>
          <w:u w:val="single"/>
        </w:rPr>
      </w:pPr>
      <w:r>
        <w:rPr>
          <w:u w:val="single"/>
        </w:rPr>
        <w:t>Clearing Organization</w:t>
      </w:r>
    </w:p>
    <w:p>
      <w:pPr>
        <w:pStyle w:val="BodyText"/>
        <w:jc w:val="both"/>
        <w:rPr/>
      </w:pPr>
      <w:r>
        <w:rPr/>
        <w:t>The Commodity Futures Modernization Act (CFMA) defines DCO to include any facility that “enables each party to the agreement, contract or transaction to substitute, through novation or otherwise, the credit of the derivatives clearing organization for the credit of the parties”.  Section 1a(9).  As you are aware, there is no significant legislative history to the CFMA, and it is unclear whether this language could be interpreted to apply to the expanded EOL service.  Even if Enron is a DCO, it need not register or otherwise be regulated by the Commodity Futures Trading Commission (CFTC) if the underlying transactions are exempt under Section 2(h) of the CEA.  Section 5b(a).  Specifically, 2(h)(1) provides for an exemption where the transactions are solely between eligible contract participants (ECPs) and are not entered into on a trading facility.  Therefore, as long as EOL is not a trading facility, its clearing activities should not be subject to regulation or registration with the CFTC.</w:t>
      </w:r>
      <w:r>
        <w:rPr>
          <w:rStyle w:val="FootnoteCharacters"/>
        </w:rPr>
        <w:t xml:space="preserve"> </w:t>
      </w:r>
      <w:r>
        <w:rPr>
          <w:rStyle w:val="FootnoteCharacters"/>
          <w:rStyle w:val="FootnoteReference"/>
        </w:rPr>
        <w:footnoteReference w:customMarkFollows="1" w:id="2"/>
        <w:t>*</w:t>
      </w:r>
    </w:p>
    <w:p>
      <w:pPr>
        <w:pStyle w:val="BodyText"/>
        <w:rPr>
          <w:u w:val="single"/>
        </w:rPr>
      </w:pPr>
      <w:r>
        <w:rPr>
          <w:u w:val="single"/>
        </w:rPr>
        <w:t>Exempt Commercial Market</w:t>
      </w:r>
    </w:p>
    <w:p>
      <w:pPr>
        <w:pStyle w:val="BodyText"/>
        <w:jc w:val="both"/>
        <w:rPr/>
      </w:pPr>
      <w:r>
        <w:rPr/>
        <w:t xml:space="preserve">As we have discussed, EOL as it currently exists is not a “trading facility” because it is a “one to many” platform.  That is, it is not a facility in which “multiple participants have the ability to execute or trade  . . . by accepting bids and offers made by other participants that are open to multiple participants in the facility or system.”  Section 1a(33).  Since all of the executable prices are Enron’s and Enron is the counterparty on every trade, EOL is not a “multiple participant” facility.  To the extent that EOL is not a “trading facility”, the requirements to become an Exempt Commercial Market (ECM) do not apply.  Section 2(h)(3). </w:t>
      </w:r>
    </w:p>
    <w:p>
      <w:pPr>
        <w:pStyle w:val="BodyText"/>
        <w:jc w:val="both"/>
        <w:rPr/>
      </w:pPr>
      <w:r>
        <w:rPr/>
        <w:t xml:space="preserve">With respect to the expanded EOL service, insofar as Enron is the counterparty on every transaction, a good argument can be made that multiple participants do not have the ability to execute or trade against other participants.  In this respect, EOL remains a “one to many” system.  In addition, Section 1a(33)(C) provides a “Special Rule”: </w:t>
      </w:r>
    </w:p>
    <w:p>
      <w:pPr>
        <w:pStyle w:val="BlockText"/>
        <w:jc w:val="both"/>
        <w:rPr/>
      </w:pPr>
      <w:r>
        <w:rPr/>
        <w:t>A person or group of persons that would not otherwise constitute a trading facility shall not be considered to be a trading facility solely as a result of the submission to a derivatives clearing organization of transactions executed on or through the person or group of persons.</w:t>
      </w:r>
    </w:p>
    <w:p>
      <w:pPr>
        <w:pStyle w:val="BodyText"/>
        <w:ind w:hanging="0" w:end="0"/>
        <w:jc w:val="both"/>
        <w:rPr/>
      </w:pPr>
      <w:r>
        <w:rPr/>
        <w:t>This Special Rule would appear to stand for the proposition that EOL does not become a trading facility even if it includes a DCO.  Of course, an argument can be made that this analysis is circular.  If the enhanced EOL services are deemed to be multiple participant services, then the Special Rule should not be a safe harbor.   Put another way, the CFTC could take the view that the analysis should focus on the expanded EOL services without the element of Enron being the counterparty to every trade.  If the posting of in between executable prices by third-parties makes EOL a multiple participant platform and therefore a trading facility, the addition of Enron as the counterparty should not change that result (i.e., the Special Rule does not apply because if the platform is already a trading facility, the addition of clearing should not change its character).  Necessarily, as discussed above, if the expanded EOL is a trading facility (and therefore should have to qualify as an ECM), the issues relating to Enron’s DCO status are also in question.</w:t>
      </w:r>
    </w:p>
    <w:p>
      <w:pPr>
        <w:pStyle w:val="Initials"/>
        <w:rPr/>
      </w:pPr>
      <w:r>
        <w:rPr/>
        <w:t>K.M.R.</w:t>
      </w:r>
    </w:p>
    <w:p>
      <w:pPr>
        <w:pStyle w:val="Normal"/>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915" w:footer="965" w:bottom="102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rmdITC Bk BT">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771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3.95pt;height:13.8pt;mso-wrap-distance-left:0pt;mso-wrap-distance-right:0pt;mso-wrap-distance-top:0pt;mso-wrap-distance-bottom:0pt;margin-top:0.05pt;mso-position-vertical-relative:text;margin-left:227.0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t>*</w:t>
      </w:r>
      <w:r>
        <w:rPr/>
        <w:t xml:space="preserve"> </w:t>
      </w:r>
      <w:r>
        <w:rPr/>
        <w:tab/>
      </w:r>
      <w:r>
        <w:rPr>
          <w:u w:val="single"/>
        </w:rPr>
        <w:t>Multilateral Clearing Organization (MCO)</w:t>
      </w:r>
      <w:r>
        <w:rPr/>
        <w:t xml:space="preserve">.  An MCO is a “system utilized by more than </w:t>
        <w:tab/>
        <w:t xml:space="preserve">2 participants in which the bilateral credit exposures of participants arising from the </w:t>
        <w:tab/>
        <w:t xml:space="preserve">transactions cleared are effectively eliminated and replaced by a system of guarantees, </w:t>
        <w:tab/>
        <w:t xml:space="preserve">insurance, or mutualized risk of loss.”  Section 408.  Under this definition, the expanded </w:t>
        <w:tab/>
        <w:t xml:space="preserve">EOL would not appear to be an MCO.  If it were an MCO, even if the MCO only cleared </w:t>
        <w:tab/>
        <w:t xml:space="preserve">transactions exempt under Section 2(h), it would still have to be registered as a DCO </w:t>
        <w:tab/>
        <w:t xml:space="preserve">under the CEA.  Section 409.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CFileStamp"/>
      <w:rPr/>
    </w:pPr>
    <w:r>
      <w:rPr/>
      <w:t>S&amp;C Draft of August 29,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2160"/>
        </w:tabs>
        <w:ind w:start="21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b/>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outlineLvl w:val="4"/>
    </w:pPr>
    <w:rPr/>
  </w:style>
  <w:style w:type="paragraph" w:styleId="Heading6">
    <w:name w:val="heading 6"/>
    <w:basedOn w:val="Normal"/>
    <w:next w:val="Normal"/>
    <w:qFormat/>
    <w:pPr>
      <w:numPr>
        <w:ilvl w:val="5"/>
        <w:numId w:val="1"/>
      </w:numPr>
      <w:spacing w:before="0" w:after="240"/>
      <w:outlineLvl w:val="5"/>
    </w:pPr>
    <w:rPr/>
  </w:style>
  <w:style w:type="paragraph" w:styleId="Heading7">
    <w:name w:val="heading 7"/>
    <w:basedOn w:val="Normal"/>
    <w:next w:val="Normal"/>
    <w:qFormat/>
    <w:pPr>
      <w:numPr>
        <w:ilvl w:val="6"/>
        <w:numId w:val="1"/>
      </w:numPr>
      <w:spacing w:before="0" w:after="240"/>
      <w:outlineLvl w:val="6"/>
    </w:pPr>
    <w:rPr/>
  </w:style>
  <w:style w:type="paragraph" w:styleId="Heading8">
    <w:name w:val="heading 8"/>
    <w:basedOn w:val="Normal"/>
    <w:next w:val="Normal"/>
    <w:qFormat/>
    <w:pPr>
      <w:numPr>
        <w:ilvl w:val="7"/>
        <w:numId w:val="1"/>
      </w:numPr>
      <w:spacing w:before="0" w:after="240"/>
      <w:outlineLvl w:val="7"/>
    </w:pPr>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40"/>
      <w:jc w:val="center"/>
    </w:pPr>
    <w:rPr>
      <w:caps/>
    </w:rPr>
  </w:style>
  <w:style w:type="paragraph" w:styleId="BodyText">
    <w:name w:val="Body Text"/>
    <w:basedOn w:val="Normal"/>
    <w:pPr>
      <w:spacing w:lineRule="auto" w:line="480"/>
      <w:ind w:firstLine="1440" w:start="0" w:end="0"/>
    </w:pPr>
    <w:rPr/>
  </w:style>
  <w:style w:type="paragraph" w:styleId="List">
    <w:name w:val="List"/>
    <w:basedOn w:val="Normal"/>
    <w:pPr>
      <w:spacing w:before="0" w:after="240"/>
      <w:ind w:hanging="720" w:start="720" w:end="0"/>
    </w:pPr>
    <w:rPr/>
  </w:style>
  <w:style w:type="paragraph" w:styleId="Caption">
    <w:name w:val="caption"/>
    <w:basedOn w:val="Normal"/>
    <w:next w:val="Normal"/>
    <w:qFormat/>
    <w:pPr>
      <w:spacing w:before="120" w:after="120"/>
    </w:pPr>
    <w:rPr>
      <w:sz w:val="20"/>
    </w:rPr>
  </w:style>
  <w:style w:type="paragraph" w:styleId="Index">
    <w:name w:val="Index"/>
    <w:basedOn w:val="Normal"/>
    <w:qFormat/>
    <w:pPr>
      <w:suppressLineNumbers/>
    </w:pPr>
    <w:rPr>
      <w:rFonts w:cs="NotoSans NF"/>
    </w:rPr>
  </w:style>
  <w:style w:type="paragraph" w:styleId="SCTitle">
    <w:name w:val="S&amp;C Title"/>
    <w:basedOn w:val="Normal"/>
    <w:qFormat/>
    <w:pPr>
      <w:spacing w:before="0" w:after="360"/>
      <w:ind w:hanging="0" w:start="-963" w:end="0"/>
    </w:pPr>
    <w:rPr>
      <w:rFonts w:ascii="GarmdITC Bk BT" w:hAnsi="GarmdITC Bk BT" w:cs="GarmdITC Bk BT"/>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ate">
    <w:name w:val="Date"/>
    <w:basedOn w:val="Normal"/>
    <w:next w:val="Normal"/>
    <w:qFormat/>
    <w:pPr>
      <w:spacing w:before="240" w:after="480"/>
      <w:ind w:hanging="0" w:start="5760" w:end="0"/>
    </w:pPr>
    <w:rPr/>
  </w:style>
  <w:style w:type="paragraph" w:styleId="To">
    <w:name w:val="To"/>
    <w:basedOn w:val="Normal"/>
    <w:qFormat/>
    <w:pPr>
      <w:spacing w:before="0" w:after="240"/>
    </w:pPr>
    <w:rPr/>
  </w:style>
  <w:style w:type="paragraph" w:styleId="Company">
    <w:name w:val="Company"/>
    <w:basedOn w:val="Normal"/>
    <w:qFormat/>
    <w:pPr>
      <w:spacing w:before="0" w:after="240"/>
    </w:pPr>
    <w:rPr/>
  </w:style>
  <w:style w:type="paragraph" w:styleId="From">
    <w:name w:val="From"/>
    <w:basedOn w:val="Normal"/>
    <w:qFormat/>
    <w:pPr/>
    <w:rPr/>
  </w:style>
  <w:style w:type="paragraph" w:styleId="Subject">
    <w:name w:val="Subject"/>
    <w:basedOn w:val="Normal"/>
    <w:qFormat/>
    <w:pPr/>
    <w:rPr/>
  </w:style>
  <w:style w:type="paragraph" w:styleId="Initials">
    <w:name w:val="Initials"/>
    <w:basedOn w:val="Normal"/>
    <w:qFormat/>
    <w:pPr>
      <w:spacing w:before="0" w:after="240"/>
      <w:ind w:hanging="0" w:start="5760" w:end="0"/>
    </w:pPr>
    <w:rPr/>
  </w:style>
  <w:style w:type="paragraph" w:styleId="cc">
    <w:name w:val="cc"/>
    <w:basedOn w:val="Normal"/>
    <w:qFormat/>
    <w:pPr>
      <w:spacing w:before="0" w:after="240"/>
      <w:ind w:hanging="720" w:start="720" w:end="0"/>
    </w:pPr>
    <w:rPr/>
  </w:style>
  <w:style w:type="paragraph" w:styleId="bcc">
    <w:name w:val="bcc"/>
    <w:basedOn w:val="Normal"/>
    <w:qFormat/>
    <w:pPr>
      <w:spacing w:before="0" w:after="240"/>
      <w:ind w:hanging="720" w:start="720" w:end="0"/>
    </w:pPr>
    <w:rPr/>
  </w:style>
  <w:style w:type="paragraph" w:styleId="LeftColumn">
    <w:name w:val="LeftColumn"/>
    <w:basedOn w:val="Normal"/>
    <w:qFormat/>
    <w:pPr>
      <w:jc w:val="end"/>
    </w:pPr>
    <w:rPr/>
  </w:style>
  <w:style w:type="paragraph" w:styleId="Attachments">
    <w:name w:val="Attachments"/>
    <w:basedOn w:val="Normal"/>
    <w:qFormat/>
    <w:pPr/>
    <w:rPr/>
  </w:style>
  <w:style w:type="paragraph" w:styleId="DeliveryMethod">
    <w:name w:val="DeliveryMethod"/>
    <w:basedOn w:val="Normal"/>
    <w:qFormat/>
    <w:pPr>
      <w:spacing w:before="0" w:after="240"/>
    </w:pPr>
    <w:rPr>
      <w:u w:val="single"/>
    </w:rPr>
  </w:style>
  <w:style w:type="paragraph" w:styleId="DraftLine">
    <w:name w:val="DraftLine"/>
    <w:basedOn w:val="Normal"/>
    <w:qFormat/>
    <w:pPr>
      <w:jc w:val="end"/>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before="0" w:after="240"/>
      <w:ind w:hanging="0" w:start="1440" w:end="0"/>
    </w:pPr>
    <w:rPr/>
  </w:style>
  <w:style w:type="paragraph" w:styleId="BodyText3">
    <w:name w:val="Body Text 3"/>
    <w:basedOn w:val="Normal"/>
    <w:qFormat/>
    <w:pPr>
      <w:spacing w:before="0" w:after="240"/>
      <w:ind w:firstLine="720" w:start="72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before="0" w:after="240"/>
      <w:ind w:firstLine="720" w:start="0" w:end="0"/>
    </w:pPr>
    <w:rPr/>
  </w:style>
  <w:style w:type="paragraph" w:styleId="BodyTextFirstIndent">
    <w:name w:val="Body Text First Indent"/>
    <w:basedOn w:val="Normal"/>
    <w:qFormat/>
    <w:pPr>
      <w:spacing w:before="0" w:after="240"/>
      <w:ind w:firstLine="1440" w:start="0" w:end="0"/>
    </w:pPr>
    <w:rPr/>
  </w:style>
  <w:style w:type="paragraph" w:styleId="BodyTextIndent2">
    <w:name w:val="Body Text Indent 2"/>
    <w:basedOn w:val="Normal"/>
    <w:qFormat/>
    <w:pPr>
      <w:spacing w:before="0" w:after="240"/>
      <w:ind w:hanging="0" w:start="720" w:end="0"/>
    </w:pPr>
    <w:rPr/>
  </w:style>
  <w:style w:type="paragraph" w:styleId="BodyTextIndent3">
    <w:name w:val="Body Text Indent 3"/>
    <w:basedOn w:val="Normal"/>
    <w:qFormat/>
    <w:pPr>
      <w:spacing w:before="0" w:after="240"/>
      <w:ind w:hanging="0" w:start="720" w:end="0"/>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ocumentMap">
    <w:name w:val="Document Map"/>
    <w:basedOn w:val="Normal"/>
    <w:qFormat/>
    <w:pPr>
      <w:shd w:fill="000080" w:val="clear"/>
      <w:jc w:val="both"/>
    </w:pPr>
    <w:rPr>
      <w:rFonts w:ascii="Tahoma" w:hAnsi="Tahoma" w:cs="Tahoma"/>
      <w:sz w:val="20"/>
    </w:rPr>
  </w:style>
  <w:style w:type="paragraph" w:styleId="Draft">
    <w:name w:val="Draft"/>
    <w:basedOn w:val="Normal"/>
    <w:qFormat/>
    <w:pPr>
      <w:jc w:val="end"/>
    </w:pPr>
    <w:rPr/>
  </w:style>
  <w:style w:type="paragraph" w:styleId="EndnoteText">
    <w:name w:val="endnote text"/>
    <w:basedOn w:val="Normal"/>
    <w:pPr/>
    <w:rPr>
      <w:sz w:val="20"/>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Index1">
    <w:name w:val="index 1"/>
    <w:basedOn w:val="Normal"/>
    <w:pPr>
      <w:spacing w:before="0" w:after="240"/>
      <w:ind w:hanging="720" w:start="720" w:end="0"/>
    </w:pPr>
    <w:rPr/>
  </w:style>
  <w:style w:type="paragraph" w:styleId="Index2">
    <w:name w:val="index 2"/>
    <w:basedOn w:val="Normal"/>
    <w:pPr>
      <w:spacing w:before="0" w:after="240"/>
      <w:ind w:hanging="720" w:start="1440" w:end="0"/>
    </w:pPr>
    <w:rPr/>
  </w:style>
  <w:style w:type="paragraph" w:styleId="Index3">
    <w:name w:val="index 3"/>
    <w:basedOn w:val="Normal"/>
    <w:pPr>
      <w:spacing w:before="0" w:after="240"/>
      <w:ind w:hanging="720" w:start="2160" w:end="0"/>
    </w:pPr>
    <w:rPr/>
  </w:style>
  <w:style w:type="paragraph" w:styleId="Index4">
    <w:name w:val="Index 4"/>
    <w:basedOn w:val="Normal"/>
    <w:qFormat/>
    <w:pPr>
      <w:spacing w:before="0" w:after="240"/>
      <w:ind w:hanging="720" w:start="2880" w:end="0"/>
    </w:pPr>
    <w:rPr/>
  </w:style>
  <w:style w:type="paragraph" w:styleId="Index5">
    <w:name w:val="Index 5"/>
    <w:basedOn w:val="Normal"/>
    <w:qFormat/>
    <w:pPr>
      <w:spacing w:before="0" w:after="240"/>
      <w:ind w:hanging="720" w:start="3600" w:end="0"/>
    </w:pPr>
    <w:rPr/>
  </w:style>
  <w:style w:type="paragraph" w:styleId="Index6">
    <w:name w:val="Index 6"/>
    <w:basedOn w:val="Normal"/>
    <w:qFormat/>
    <w:pPr>
      <w:spacing w:before="0" w:after="240"/>
      <w:ind w:hanging="720" w:start="3600" w:end="0"/>
    </w:pPr>
    <w:rPr/>
  </w:style>
  <w:style w:type="paragraph" w:styleId="Index7">
    <w:name w:val="Index 7"/>
    <w:basedOn w:val="Normal"/>
    <w:qFormat/>
    <w:pPr>
      <w:spacing w:before="0" w:after="240"/>
      <w:ind w:hanging="720" w:start="4320" w:end="0"/>
    </w:pPr>
    <w:rPr/>
  </w:style>
  <w:style w:type="paragraph" w:styleId="Index8">
    <w:name w:val="Index 8"/>
    <w:basedOn w:val="Normal"/>
    <w:qFormat/>
    <w:pPr>
      <w:spacing w:before="0" w:after="240"/>
      <w:ind w:hanging="720" w:start="5040" w:end="0"/>
    </w:pPr>
    <w:rPr/>
  </w:style>
  <w:style w:type="paragraph" w:styleId="Index9">
    <w:name w:val="Index 9"/>
    <w:basedOn w:val="Normal"/>
    <w:qFormat/>
    <w:pPr>
      <w:spacing w:before="0" w:after="240"/>
      <w:ind w:hanging="720" w:start="5760" w:end="0"/>
    </w:pPr>
    <w:rPr/>
  </w:style>
  <w:style w:type="paragraph" w:styleId="IndexHeading">
    <w:name w:val="index heading"/>
    <w:basedOn w:val="Normal"/>
    <w:next w:val="Index1"/>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spacing w:before="0" w:after="240"/>
      <w:ind w:hanging="720" w:start="3600" w:end="0"/>
    </w:pPr>
    <w:rPr/>
  </w:style>
  <w:style w:type="paragraph" w:styleId="ListBullet21">
    <w:name w:val="List Bullet 21"/>
    <w:basedOn w:val="Normal"/>
    <w:qFormat/>
    <w:pPr>
      <w:numPr>
        <w:ilvl w:val="0"/>
        <w:numId w:val="9"/>
      </w:numPr>
      <w:tabs>
        <w:tab w:val="clear" w:pos="720"/>
        <w:tab w:val="left" w:pos="1440" w:leader="none"/>
      </w:tabs>
      <w:spacing w:before="0" w:after="240"/>
      <w:ind w:hanging="720" w:start="1440" w:end="0"/>
    </w:pPr>
    <w:rPr/>
  </w:style>
  <w:style w:type="paragraph" w:styleId="ListBullet31">
    <w:name w:val="List Bullet 31"/>
    <w:basedOn w:val="Normal"/>
    <w:qFormat/>
    <w:pPr>
      <w:numPr>
        <w:ilvl w:val="0"/>
        <w:numId w:val="8"/>
      </w:numPr>
      <w:tabs>
        <w:tab w:val="clear" w:pos="720"/>
        <w:tab w:val="left" w:pos="2160" w:leader="none"/>
      </w:tabs>
      <w:spacing w:before="0" w:after="240"/>
      <w:ind w:hanging="720" w:start="2160" w:end="0"/>
    </w:pPr>
    <w:rPr/>
  </w:style>
  <w:style w:type="paragraph" w:styleId="ListBullet41">
    <w:name w:val="List Bullet 41"/>
    <w:basedOn w:val="Normal"/>
    <w:qFormat/>
    <w:pPr>
      <w:numPr>
        <w:ilvl w:val="0"/>
        <w:numId w:val="7"/>
      </w:numPr>
      <w:tabs>
        <w:tab w:val="clear" w:pos="720"/>
        <w:tab w:val="left" w:pos="2880" w:leader="none"/>
      </w:tabs>
      <w:spacing w:before="0" w:after="240"/>
      <w:ind w:hanging="720" w:start="2880" w:end="0"/>
    </w:pPr>
    <w:rPr/>
  </w:style>
  <w:style w:type="paragraph" w:styleId="ListBullet51">
    <w:name w:val="List Bullet 51"/>
    <w:basedOn w:val="Normal"/>
    <w:qFormat/>
    <w:pPr>
      <w:numPr>
        <w:ilvl w:val="0"/>
        <w:numId w:val="6"/>
      </w:numPr>
      <w:tabs>
        <w:tab w:val="clear" w:pos="720"/>
        <w:tab w:val="left" w:pos="3600" w:leader="none"/>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44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Continue">
    <w:name w:val="List Continue"/>
    <w:basedOn w:val="Normal"/>
    <w:qFormat/>
    <w:pPr>
      <w:spacing w:before="0" w:after="240"/>
    </w:pPr>
    <w:rPr/>
  </w:style>
  <w:style w:type="paragraph" w:styleId="ListNumber2">
    <w:name w:val="List Number 2"/>
    <w:basedOn w:val="Normal"/>
    <w:qFormat/>
    <w:pPr>
      <w:numPr>
        <w:ilvl w:val="0"/>
        <w:numId w:val="5"/>
      </w:numPr>
      <w:tabs>
        <w:tab w:val="clear" w:pos="720"/>
        <w:tab w:val="left" w:pos="1440" w:leader="none"/>
      </w:tabs>
      <w:spacing w:before="0" w:after="240"/>
      <w:ind w:hanging="720" w:start="1440" w:end="0"/>
    </w:pPr>
    <w:rPr/>
  </w:style>
  <w:style w:type="paragraph" w:styleId="ListNumber3">
    <w:name w:val="List Number 3"/>
    <w:basedOn w:val="Normal"/>
    <w:qFormat/>
    <w:pPr>
      <w:numPr>
        <w:ilvl w:val="0"/>
        <w:numId w:val="4"/>
      </w:numPr>
      <w:tabs>
        <w:tab w:val="clear" w:pos="720"/>
        <w:tab w:val="left" w:pos="2160" w:leader="none"/>
      </w:tabs>
      <w:spacing w:before="0" w:after="240"/>
      <w:ind w:hanging="720" w:start="2160" w:end="0"/>
    </w:pPr>
    <w:rPr/>
  </w:style>
  <w:style w:type="paragraph" w:styleId="ListNumber4">
    <w:name w:val="List Number 4"/>
    <w:basedOn w:val="Normal"/>
    <w:qFormat/>
    <w:pPr>
      <w:numPr>
        <w:ilvl w:val="0"/>
        <w:numId w:val="3"/>
      </w:numPr>
      <w:tabs>
        <w:tab w:val="clear" w:pos="720"/>
        <w:tab w:val="left" w:pos="2880" w:leader="none"/>
      </w:tabs>
      <w:spacing w:before="0" w:after="240"/>
      <w:ind w:hanging="720" w:start="2880" w:end="0"/>
    </w:pPr>
    <w:rPr/>
  </w:style>
  <w:style w:type="paragraph" w:styleId="ListNumber5">
    <w:name w:val="List Number 5"/>
    <w:basedOn w:val="Normal"/>
    <w:qFormat/>
    <w:pPr>
      <w:numPr>
        <w:ilvl w:val="0"/>
        <w:numId w:val="2"/>
      </w:numPr>
      <w:tabs>
        <w:tab w:val="clear" w:pos="720"/>
        <w:tab w:val="left" w:pos="3600" w:leader="none"/>
      </w:tabs>
      <w:spacing w:before="0" w:after="240"/>
      <w:ind w:hanging="720" w:start="3600" w:end="0"/>
    </w:pPr>
    <w:rPr/>
  </w:style>
  <w:style w:type="paragraph" w:styleId="ListNumber">
    <w:name w:val="List Number"/>
    <w:basedOn w:val="Normal"/>
    <w:qFormat/>
    <w:pPr>
      <w:numPr>
        <w:ilvl w:val="0"/>
        <w:numId w:val="10"/>
      </w:numPr>
      <w:tabs>
        <w:tab w:val="left" w:pos="720" w:leader="none"/>
      </w:tabs>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jc w:val="both"/>
    </w:pPr>
    <w:rPr>
      <w:rFonts w:ascii="Arial" w:hAnsi="Arial" w:cs="Arial"/>
      <w:sz w:val="20"/>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240"/>
      <w:jc w:val="center"/>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ableText">
    <w:name w:val="Table Text"/>
    <w:basedOn w:val="Normal"/>
    <w:qFormat/>
    <w:pPr/>
    <w:rPr/>
  </w:style>
  <w:style w:type="paragraph" w:styleId="TOAHeading">
    <w:name w:val="TOA Heading"/>
    <w:basedOn w:val="Normal"/>
    <w:next w:val="Normal"/>
    <w:qFormat/>
    <w:pPr>
      <w:spacing w:before="0" w:after="240"/>
    </w:pPr>
    <w:rPr>
      <w:b/>
    </w:rPr>
  </w:style>
  <w:style w:type="paragraph" w:styleId="TOC1">
    <w:name w:val="toc 1"/>
    <w:basedOn w:val="Normal"/>
    <w:next w:val="Normal"/>
    <w:pPr>
      <w:tabs>
        <w:tab w:val="clear" w:pos="720"/>
        <w:tab w:val="right" w:pos="4147" w:leader="dot"/>
      </w:tabs>
      <w:ind w:hanging="0" w:start="0" w:end="432"/>
    </w:pPr>
    <w:rPr/>
  </w:style>
  <w:style w:type="paragraph" w:styleId="TOC2">
    <w:name w:val="toc 2"/>
    <w:basedOn w:val="Normal"/>
    <w:next w:val="Normal"/>
    <w:pPr>
      <w:tabs>
        <w:tab w:val="left" w:pos="720" w:leader="none"/>
        <w:tab w:val="left" w:pos="1440" w:leader="none"/>
        <w:tab w:val="right" w:pos="8640" w:leader="dot"/>
      </w:tabs>
      <w:ind w:hanging="0" w:start="720" w:end="720"/>
    </w:pPr>
    <w:rPr>
      <w:color w:val="000000"/>
    </w:rPr>
  </w:style>
  <w:style w:type="paragraph" w:styleId="TOC3">
    <w:name w:val="toc 3"/>
    <w:basedOn w:val="Normal"/>
    <w:next w:val="Normal"/>
    <w:pPr>
      <w:ind w:hanging="0" w:start="1440" w:end="0"/>
    </w:pPr>
    <w:rPr/>
  </w:style>
  <w:style w:type="paragraph" w:styleId="TOC4">
    <w:name w:val="toc 4"/>
    <w:basedOn w:val="Normal"/>
    <w:next w:val="Normal"/>
    <w:pPr>
      <w:ind w:hanging="0" w:start="2160" w:end="0"/>
    </w:pPr>
    <w:rPr/>
  </w:style>
  <w:style w:type="paragraph" w:styleId="TOC5">
    <w:name w:val="toc 5"/>
    <w:basedOn w:val="Normal"/>
    <w:next w:val="Normal"/>
    <w:pPr>
      <w:ind w:hanging="0" w:start="2880" w:end="0"/>
    </w:pPr>
    <w:rPr/>
  </w:style>
  <w:style w:type="paragraph" w:styleId="TOC6">
    <w:name w:val="toc 6"/>
    <w:basedOn w:val="Normal"/>
    <w:next w:val="Normal"/>
    <w:pPr>
      <w:ind w:hanging="0" w:start="3600" w:end="0"/>
    </w:pPr>
    <w:rPr/>
  </w:style>
  <w:style w:type="paragraph" w:styleId="TOC7">
    <w:name w:val="toc 7"/>
    <w:basedOn w:val="Normal"/>
    <w:next w:val="Normal"/>
    <w:pPr>
      <w:ind w:hanging="0" w:start="4320" w:end="0"/>
    </w:pPr>
    <w:rPr/>
  </w:style>
  <w:style w:type="paragraph" w:styleId="TOC8">
    <w:name w:val="toc 8"/>
    <w:basedOn w:val="Normal"/>
    <w:next w:val="Normal"/>
    <w:pPr>
      <w:ind w:hanging="0" w:start="5040" w:end="0"/>
    </w:pPr>
    <w:rPr/>
  </w:style>
  <w:style w:type="paragraph" w:styleId="TOC9">
    <w:name w:val="toc 9"/>
    <w:basedOn w:val="Normal"/>
    <w:next w:val="Normal"/>
    <w:pPr>
      <w:ind w:hanging="0" w:start="5760" w:end="0"/>
    </w:pPr>
    <w:rPr/>
  </w:style>
  <w:style w:type="paragraph" w:styleId="Divider">
    <w:name w:val="Divider"/>
    <w:basedOn w:val="Normal"/>
    <w:qFormat/>
    <w:pPr/>
    <w:rPr>
      <w:sz w:val="16"/>
    </w:rPr>
  </w:style>
  <w:style w:type="paragraph" w:styleId="SCFileStamp">
    <w:name w:val="S&amp;CFileStamp"/>
    <w:basedOn w:val="Normal"/>
    <w:qFormat/>
    <w:pPr>
      <w:jc w:val="end"/>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S&amp;C 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2001-08-29T11:38:00Z</dcterms:created>
  <dc:creator>cerratc</dc:creator>
  <dc:description/>
  <dc:language>en-CA</dc:language>
  <cp:lastModifiedBy>cerratc</cp:lastModifiedBy>
  <cp:lastPrinted>2001-08-29T10:08:00Z</cp:lastPrinted>
  <dcterms:modified xsi:type="dcterms:W3CDTF">2001-08-29T11:38:00Z</dcterms:modified>
  <cp:revision>2</cp:revision>
  <dc:subject/>
  <dc:title>SULLIVAN &amp; CROMWELL</dc:title>
</cp:coreProperties>
</file>