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ind w:hanging="0" w:start="0"/>
        <w:jc w:val="center"/>
        <w:outlineLvl w:val="0"/>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sz w:val="28"/>
        </w:rPr>
        <w:t>Memorandum</w:t>
      </w:r>
    </w:p>
    <w:p>
      <w:pPr>
        <w:pStyle w:val="BodyText"/>
        <w:spacing w:before="0" w:after="480"/>
        <w:jc w:val="center"/>
        <w:rPr/>
      </w:pPr>
      <w:bookmarkStart w:id="0" w:name="Date"/>
      <w:bookmarkEnd w:id="0"/>
      <w:r>
        <w:rPr/>
        <w:t>August 25, 2000</w:t>
      </w:r>
    </w:p>
    <w:tbl>
      <w:tblPr>
        <w:tblW w:w="8301" w:type="dxa"/>
        <w:jc w:val="start"/>
        <w:tblInd w:w="0" w:type="dxa"/>
        <w:tblLayout w:type="fixed"/>
        <w:tblCellMar>
          <w:top w:w="0" w:type="dxa"/>
          <w:start w:w="108" w:type="dxa"/>
          <w:bottom w:w="0" w:type="dxa"/>
          <w:end w:w="108" w:type="dxa"/>
        </w:tblCellMar>
      </w:tblPr>
      <w:tblGrid>
        <w:gridCol w:w="1083"/>
        <w:gridCol w:w="7218"/>
      </w:tblGrid>
      <w:tr>
        <w:trPr/>
        <w:tc>
          <w:tcPr>
            <w:tcW w:w="1083" w:type="dxa"/>
            <w:tcBorders/>
          </w:tcPr>
          <w:p>
            <w:pPr>
              <w:pStyle w:val="BodyText"/>
              <w:rPr/>
            </w:pPr>
            <w:r>
              <w:rPr/>
              <w:t>TO:</w:t>
            </w:r>
          </w:p>
        </w:tc>
        <w:tc>
          <w:tcPr>
            <w:tcW w:w="7218" w:type="dxa"/>
            <w:tcBorders/>
          </w:tcPr>
          <w:p>
            <w:pPr>
              <w:pStyle w:val="BodyText"/>
              <w:ind w:firstLine="357" w:end="0"/>
              <w:rPr/>
            </w:pPr>
            <w:bookmarkStart w:id="1" w:name="MemoTo"/>
            <w:bookmarkEnd w:id="1"/>
            <w:r>
              <w:rPr/>
              <w:t>Scott Sefton</w:t>
            </w:r>
          </w:p>
        </w:tc>
      </w:tr>
      <w:tr>
        <w:trPr/>
        <w:tc>
          <w:tcPr>
            <w:tcW w:w="1083" w:type="dxa"/>
            <w:tcBorders/>
          </w:tcPr>
          <w:p>
            <w:pPr>
              <w:pStyle w:val="BodyText"/>
              <w:snapToGrid w:val="false"/>
              <w:rPr/>
            </w:pPr>
            <w:r>
              <w:rPr/>
            </w:r>
          </w:p>
        </w:tc>
        <w:tc>
          <w:tcPr>
            <w:tcW w:w="7218" w:type="dxa"/>
            <w:tcBorders/>
          </w:tcPr>
          <w:p>
            <w:pPr>
              <w:pStyle w:val="BodyText"/>
              <w:snapToGrid w:val="false"/>
              <w:ind w:start="357" w:end="0"/>
              <w:rPr/>
            </w:pPr>
            <w:r>
              <w:rPr/>
            </w:r>
          </w:p>
        </w:tc>
      </w:tr>
      <w:tr>
        <w:trPr/>
        <w:tc>
          <w:tcPr>
            <w:tcW w:w="1083" w:type="dxa"/>
            <w:tcBorders/>
          </w:tcPr>
          <w:p>
            <w:pPr>
              <w:pStyle w:val="BodyText"/>
              <w:rPr/>
            </w:pPr>
            <w:r>
              <w:rPr/>
              <w:t>FROM:</w:t>
            </w:r>
          </w:p>
        </w:tc>
        <w:tc>
          <w:tcPr>
            <w:tcW w:w="7218" w:type="dxa"/>
            <w:tcBorders/>
          </w:tcPr>
          <w:p>
            <w:pPr>
              <w:pStyle w:val="BodyText"/>
              <w:ind w:start="357" w:end="0"/>
              <w:rPr/>
            </w:pPr>
            <w:bookmarkStart w:id="2" w:name="MemoFrom"/>
            <w:bookmarkEnd w:id="2"/>
            <w:r>
              <w:rPr/>
              <w:t>Alicia L. Curry</w:t>
            </w:r>
          </w:p>
        </w:tc>
      </w:tr>
    </w:tbl>
    <w:p>
      <w:pPr>
        <w:pStyle w:val="BodyText"/>
        <w:ind w:hanging="1440" w:start="1440" w:end="0"/>
        <w:rPr/>
      </w:pPr>
      <w:r>
        <w:rPr/>
      </w:r>
    </w:p>
    <w:p>
      <w:pPr>
        <w:pStyle w:val="BodyText"/>
        <w:spacing w:before="0" w:after="120"/>
        <w:ind w:hanging="1440" w:start="1440" w:end="0"/>
        <w:rPr/>
      </w:pPr>
      <w:r>
        <w:rPr/>
        <w:t>RE:</w:t>
        <w:tab/>
      </w:r>
      <w:bookmarkStart w:id="3" w:name="MemoRegarding"/>
      <w:bookmarkEnd w:id="3"/>
      <w:r>
        <w:rPr/>
        <w:t>Raptor I</w:t>
      </w:r>
    </w:p>
    <w:p>
      <w:pPr>
        <w:pStyle w:val="BodyText"/>
        <w:jc w:val="both"/>
        <w:rPr/>
      </w:pPr>
      <w:r>
        <w:rPr/>
        <w:tab/>
      </w:r>
      <w:bookmarkStart w:id="4" w:name="Start"/>
      <w:bookmarkEnd w:id="4"/>
      <w:r>
        <w:rPr/>
        <w:t>As requested, set forth below is a short response to your memo of August 22nd:</w:t>
      </w:r>
    </w:p>
    <w:p>
      <w:pPr>
        <w:pStyle w:val="BodyText"/>
        <w:jc w:val="both"/>
        <w:rPr/>
      </w:pPr>
      <w:r>
        <w:rPr/>
      </w:r>
    </w:p>
    <w:p>
      <w:pPr>
        <w:pStyle w:val="BodyText"/>
        <w:jc w:val="both"/>
        <w:rPr/>
      </w:pPr>
      <w:r>
        <w:rPr/>
        <w:t>1.</w:t>
        <w:tab/>
        <w:t>Because the CFTC's Exemption for Certain Swap Agreements (the Part 35 Rules) is not available for equity swap agreements, you are relying on a policy statement published by the CFTC (the Policy Statement Concerning Swap Transactions) for an exemption from regulation under the Commodity Exchange Act of the proposed swap transactions between Harrier and Talon.  One of the standards of the safe harbor provided by the Policy Statement requires that "the swap must create obligations that are terminable, absent default, only with the consent of the counterparty."  The proposed Confirmation language that allows Harrier to terminate an equity swap agreement without Talon's consent would therefore not satisfy the safe harbor of the Policy Statement.  Instead, you may wish to consider structuring the derivatives in the form of options with matching premia and strikes.  Options on individual securities are not subject to regulation by the CFTC.  Bob Baird has told me that he would be happy to discuss these matters with you further on Monday when he returns.</w:t>
      </w:r>
    </w:p>
    <w:p>
      <w:pPr>
        <w:pStyle w:val="BodyText"/>
        <w:jc w:val="both"/>
        <w:rPr/>
      </w:pPr>
      <w:r>
        <w:rPr/>
      </w:r>
    </w:p>
    <w:p>
      <w:pPr>
        <w:pStyle w:val="BodyText"/>
        <w:jc w:val="both"/>
        <w:rPr/>
      </w:pPr>
      <w:r>
        <w:rPr/>
        <w:t>2.</w:t>
        <w:tab/>
        <w:t>The swaps should have natural terminations on or before April 18, 2005.  The promissory notes and the set-off provisions of the Schedule to the ISDA Master Agreement between Harrier and Talon call for all obligations of the parties to be summed up at that date (or sooner upon the occurrence of certain events).  (See item 3 below, Part 5(m) of the Schedule and "Maturity Date" definitions in the notes and in the Schedule.)</w:t>
      </w:r>
    </w:p>
    <w:p>
      <w:pPr>
        <w:pStyle w:val="BodyText"/>
        <w:jc w:val="both"/>
        <w:rPr/>
      </w:pPr>
      <w:r>
        <w:rPr/>
      </w:r>
    </w:p>
    <w:p>
      <w:pPr>
        <w:pStyle w:val="BodyText"/>
        <w:jc w:val="both"/>
        <w:rPr/>
      </w:pPr>
      <w:r>
        <w:rPr/>
        <w:t>3.</w:t>
        <w:tab/>
        <w:t xml:space="preserve">If the committed facility created by the Master Derivatives Agreement is terminated (see Section 6.09 of the Master Derivatives Agreement), no </w:t>
      </w:r>
      <w:r>
        <w:rPr>
          <w:i/>
        </w:rPr>
        <w:t>additional</w:t>
      </w:r>
      <w:r>
        <w:rPr/>
        <w:t xml:space="preserve"> trades will be entered into under such agreement between Harrier and Talon but this does not necessarily affect trades that were </w:t>
      </w:r>
      <w:r>
        <w:rPr>
          <w:i/>
        </w:rPr>
        <w:t>previously</w:t>
      </w:r>
      <w:r>
        <w:rPr/>
        <w:t xml:space="preserve"> entered into.  Section 6.09 gives </w:t>
      </w:r>
      <w:r>
        <w:rPr>
          <w:i/>
        </w:rPr>
        <w:t>Talon</w:t>
      </w:r>
      <w:r>
        <w:rPr/>
        <w:t xml:space="preserve"> the right to terminate the facility on or after April 18, 2003 by giving 1 year advance notice.  This means that to terminate the facility as of April 18, 2003, Talon would need to give notice to Harrier by April 18, 2002 but new trades could continue to be written until April 18, 2003, which trades could have stated termination dates out to April 18, 2005 (subject to the possibility of early termination as discussed below).  Section 6.09 also gives </w:t>
      </w:r>
      <w:r>
        <w:rPr>
          <w:i/>
        </w:rPr>
        <w:t>Harrier</w:t>
      </w:r>
      <w:r>
        <w:rPr/>
        <w:t xml:space="preserve"> the right to terminate the facility on 5 Business Days notice.  In addition, the Master Derivatives Agreement terminates following certain Events of Default and Termination Events under the ISDA Master Agreement between Harrier and Talon (see the definition of Global Early Termination Date in the Master Derivatives Agreement).</w:t>
      </w:r>
    </w:p>
    <w:p>
      <w:pPr>
        <w:pStyle w:val="BodyText"/>
        <w:jc w:val="both"/>
        <w:rPr/>
      </w:pPr>
      <w:r>
        <w:rPr/>
      </w:r>
    </w:p>
    <w:p>
      <w:pPr>
        <w:pStyle w:val="BodyText"/>
        <w:jc w:val="both"/>
        <w:rPr/>
      </w:pPr>
      <w:r>
        <w:rPr/>
        <w:tab/>
        <w:t>As for existing trades at the time of a termination of the Master Derivatives Agreement, these trades would remain in place unless there is an Event of Default or Termination Event (in the latter instance, only trades that are "affected" will be terminated).  One such possibility of terminating existing trades is the Event of Default in the ISDA Master Agreement concerning liquidation or dissolution of a party.  If the Master Derivatives Agreement is terminated as described above, either member of Talon (Harrier or the LJM2 Member) has the right to cause Talon to dissolve (see 11.1(c):  The Company shall be dissolved and its affairs shall be wound up upon the first to occur of any of the following:  ... (c) April 18, 2005 or, at the election of either Member, such earlier date if a "Termination Date" [Section 6.09] has occurred under the Master Derivatives Agreement).  In other words, following a termination of the Master Derivatives Agreement, either party could cause Talon to dissolve which, in turn, would result in an Event of Default under the ISDA Master Agreement and an early termination of all existing trades.  The settlement amount upon termination of such trades would be determined in accordance with Sections 6(d) and 6(e) of the ISDA Master Agreement and Part 1(f) of the Schedule that is a part thereof.</w:t>
      </w:r>
    </w:p>
    <w:p>
      <w:pPr>
        <w:pStyle w:val="BodyText"/>
        <w:jc w:val="both"/>
        <w:rPr/>
      </w:pPr>
      <w:r>
        <w:rPr/>
      </w:r>
    </w:p>
    <w:p>
      <w:pPr>
        <w:pStyle w:val="BodyText"/>
        <w:jc w:val="both"/>
        <w:rPr/>
      </w:pPr>
      <w:r>
        <w:rPr/>
        <w:t>4.</w:t>
        <w:tab/>
        <w:t>I have consulted Ron about your fourth question and neither of us is aware of any provision in the documentation that addresses the situation where a public filing is required in connection with a hedge.  Harrier/Enron and Talon each have an obligation to comply with the law irrespective of the lack of any mention in the documentation, and each should assume responsibility for its own compliance.  Ron mentioned that he has previously discussed a number of matters with you in this context, including underwriting standstill agreements.  I do note that we included a provision in the Schedule to the effect that a trade cannot be terminated if Section 16(b) liability would result as a result of such termination (see Part 5(g) of the Schedule).</w:t>
      </w:r>
    </w:p>
    <w:p>
      <w:pPr>
        <w:pStyle w:val="BodyText"/>
        <w:jc w:val="both"/>
        <w:rPr/>
      </w:pPr>
      <w:r>
        <w:rPr/>
      </w:r>
    </w:p>
    <w:p>
      <w:pPr>
        <w:pStyle w:val="BodyText"/>
        <w:jc w:val="both"/>
        <w:rPr/>
      </w:pPr>
      <w:r>
        <w:rPr/>
      </w:r>
    </w:p>
    <w:p>
      <w:pPr>
        <w:pStyle w:val="BodyText"/>
        <w:jc w:val="both"/>
        <w:rPr/>
      </w:pPr>
      <w:r>
        <w:rPr/>
        <w:tab/>
        <w:tab/>
        <w:tab/>
        <w:tab/>
        <w:tab/>
        <w:tab/>
        <w:tab/>
        <w:t>A.L.C.</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pBdr>
        <w:bottom w:val="single" w:sz="6" w:space="3" w:color="000000"/>
      </w:pBdr>
      <w:spacing w:lineRule="exact" w:line="360" w:before="360" w:after="120"/>
      <w:ind w:hanging="0" w:start="0" w:end="0"/>
      <w:outlineLvl w:val="0"/>
    </w:pPr>
    <w:rPr>
      <w:b/>
      <w:caps/>
      <w:kern w:val="2"/>
      <w:sz w:val="28"/>
    </w:rPr>
  </w:style>
  <w:style w:type="paragraph" w:styleId="Heading2">
    <w:name w:val="heading 2"/>
    <w:basedOn w:val="Normal"/>
    <w:next w:val="BodyText"/>
    <w:qFormat/>
    <w:pPr>
      <w:keepNext w:val="true"/>
      <w:keepLines/>
      <w:numPr>
        <w:ilvl w:val="1"/>
        <w:numId w:val="1"/>
      </w:numPr>
      <w:spacing w:lineRule="exact" w:line="280" w:before="240" w:after="120"/>
      <w:ind w:hanging="0" w:start="0" w:end="0"/>
      <w:outlineLvl w:val="1"/>
    </w:pPr>
    <w:rPr>
      <w:b/>
      <w:kern w:val="2"/>
      <w:sz w:val="28"/>
    </w:rPr>
  </w:style>
  <w:style w:type="paragraph" w:styleId="Heading3">
    <w:name w:val="heading 3"/>
    <w:basedOn w:val="Normal"/>
    <w:next w:val="BodyText"/>
    <w:qFormat/>
    <w:pPr>
      <w:keepNext w:val="true"/>
      <w:keepLines/>
      <w:numPr>
        <w:ilvl w:val="2"/>
        <w:numId w:val="1"/>
      </w:numPr>
      <w:spacing w:lineRule="exact" w:line="280" w:before="240" w:after="120"/>
      <w:ind w:hanging="0" w:start="0" w:end="0"/>
      <w:outlineLvl w:val="2"/>
    </w:pPr>
    <w:rPr>
      <w:b/>
      <w:i/>
      <w:kern w:val="2"/>
      <w:sz w:val="28"/>
    </w:rPr>
  </w:style>
  <w:style w:type="paragraph" w:styleId="Heading4">
    <w:name w:val="heading 4"/>
    <w:basedOn w:val="Normal"/>
    <w:next w:val="BodyText"/>
    <w:qFormat/>
    <w:pPr>
      <w:keepNext w:val="true"/>
      <w:keepLines/>
      <w:numPr>
        <w:ilvl w:val="3"/>
        <w:numId w:val="1"/>
      </w:numPr>
      <w:spacing w:lineRule="exact" w:line="280" w:before="240" w:after="120"/>
      <w:ind w:hanging="0" w:start="0" w:end="0"/>
      <w:outlineLvl w:val="3"/>
    </w:pPr>
    <w:rPr>
      <w:b/>
      <w:kern w:val="2"/>
    </w:rPr>
  </w:style>
  <w:style w:type="paragraph" w:styleId="Heading5">
    <w:name w:val="heading 5"/>
    <w:basedOn w:val="Normal"/>
    <w:next w:val="BodyText"/>
    <w:qFormat/>
    <w:pPr>
      <w:keepNext w:val="true"/>
      <w:keepLines/>
      <w:numPr>
        <w:ilvl w:val="4"/>
        <w:numId w:val="1"/>
      </w:numPr>
      <w:spacing w:lineRule="exact" w:line="280" w:before="240" w:after="120"/>
      <w:ind w:hanging="0" w:start="0" w:end="0"/>
      <w:outlineLvl w:val="4"/>
    </w:pPr>
    <w:rPr>
      <w:b/>
      <w:i/>
      <w:kern w:val="2"/>
    </w:rPr>
  </w:style>
  <w:style w:type="paragraph" w:styleId="Heading6">
    <w:name w:val="heading 6"/>
    <w:basedOn w:val="Normal"/>
    <w:next w:val="BodyText"/>
    <w:qFormat/>
    <w:pPr>
      <w:keepNext w:val="true"/>
      <w:keepLines/>
      <w:numPr>
        <w:ilvl w:val="5"/>
        <w:numId w:val="1"/>
      </w:numPr>
      <w:spacing w:lineRule="exact" w:line="280" w:before="240" w:after="120"/>
      <w:ind w:hanging="0" w:start="0" w:end="0"/>
      <w:outlineLvl w:val="5"/>
    </w:pPr>
    <w:rPr>
      <w:b/>
      <w:kern w:val="2"/>
      <w:sz w:val="22"/>
    </w:rPr>
  </w:style>
  <w:style w:type="paragraph" w:styleId="Heading7">
    <w:name w:val="heading 7"/>
    <w:basedOn w:val="Normal"/>
    <w:next w:val="BodyText"/>
    <w:qFormat/>
    <w:pPr>
      <w:keepNext w:val="true"/>
      <w:keepLines/>
      <w:numPr>
        <w:ilvl w:val="6"/>
        <w:numId w:val="1"/>
      </w:numPr>
      <w:spacing w:lineRule="exact" w:line="280" w:before="240" w:after="120"/>
      <w:ind w:hanging="0" w:start="0" w:end="0"/>
      <w:outlineLvl w:val="6"/>
    </w:pPr>
    <w:rPr>
      <w:kern w:val="2"/>
      <w:sz w:val="22"/>
    </w:rPr>
  </w:style>
  <w:style w:type="paragraph" w:styleId="Heading8">
    <w:name w:val="heading 8"/>
    <w:basedOn w:val="Normal"/>
    <w:next w:val="BodyText"/>
    <w:qFormat/>
    <w:pPr>
      <w:keepNext w:val="true"/>
      <w:keepLines/>
      <w:numPr>
        <w:ilvl w:val="7"/>
        <w:numId w:val="1"/>
      </w:numPr>
      <w:spacing w:lineRule="exact" w:line="280" w:before="240" w:after="120"/>
      <w:ind w:hanging="0" w:start="0" w:end="0"/>
      <w:outlineLvl w:val="7"/>
    </w:pPr>
    <w:rPr>
      <w:i/>
      <w:kern w:val="2"/>
      <w:sz w:val="22"/>
    </w:rPr>
  </w:style>
  <w:style w:type="paragraph" w:styleId="Heading9">
    <w:name w:val="heading 9"/>
    <w:basedOn w:val="Normal"/>
    <w:next w:val="BodyText"/>
    <w:qFormat/>
    <w:pPr>
      <w:keepNext w:val="true"/>
      <w:keepLines/>
      <w:numPr>
        <w:ilvl w:val="8"/>
        <w:numId w:val="1"/>
      </w:numPr>
      <w:spacing w:lineRule="exact" w:line="280" w:before="240" w:after="120"/>
      <w:ind w:hanging="0" w:start="0" w:end="0"/>
      <w:outlineLvl w:val="8"/>
    </w:pPr>
    <w:rPr>
      <w:i/>
      <w:kern w:val="2"/>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next w:val="BodyText"/>
    <w:qFormat/>
    <w:pPr>
      <w:keepNext w:val="true"/>
      <w:keepLines/>
      <w:spacing w:before="120" w:after="240"/>
      <w:ind w:hanging="0" w:start="0" w:end="0"/>
    </w:pPr>
    <w:rPr>
      <w:b/>
      <w:caps/>
      <w:spacing w:val="180"/>
      <w:kern w:val="2"/>
      <w:sz w:val="32"/>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12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V&amp;E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2000-08-25T10:26:00Z</dcterms:created>
  <dc:creator>VE</dc:creator>
  <dc:description/>
  <dc:language>en-CA</dc:language>
  <cp:lastModifiedBy>VE</cp:lastModifiedBy>
  <cp:lastPrinted>2000-08-25T07:40:00Z</cp:lastPrinted>
  <dcterms:modified xsi:type="dcterms:W3CDTF">2000-08-25T10:26:00Z</dcterms:modified>
  <cp:revision>2</cp:revision>
  <dc:subject/>
  <dc:title>V&amp; E MEMORANDUM</dc:title>
</cp:coreProperties>
</file>