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720" w:after="120"/>
        <w:jc w:val="end"/>
        <w:rPr>
          <w:spacing w:val="110"/>
          <w:sz w:val="22"/>
        </w:rPr>
      </w:pPr>
      <w:r>
        <w:rPr>
          <w:spacing w:val="110"/>
          <w:sz w:val="22"/>
        </w:rPr>
        <w:t>PRIVILEGED AND CONFIDENTIAL</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680085" cy="965200"/>
                <wp:effectExtent l="0" t="0" r="0" b="0"/>
                <wp:wrapTopAndBottom/>
                <wp:docPr id="2" name="Frame2"/>
                <a:graphic xmlns:a="http://schemas.openxmlformats.org/drawingml/2006/main">
                  <a:graphicData uri="http://schemas.microsoft.com/office/word/2010/wordprocessingShape">
                    <wps:wsp>
                      <wps:cNvSpPr txBox="1"/>
                      <wps:spPr>
                        <a:xfrm>
                          <a:off x="0" y="0"/>
                          <a:ext cx="680085" cy="965200"/>
                        </a:xfrm>
                        <a:prstGeom prst="rect"/>
                        <a:solidFill>
                          <a:srgbClr val="FFFFFF">
                            <a:alpha val="0"/>
                          </a:srgbClr>
                        </a:solidFill>
                      </wps:spPr>
                      <wps:txbx>
                        <w:txbxContent>
                          <w:p>
                            <w:pPr>
                              <w:pStyle w:val="DirectDial"/>
                              <w:rPr/>
                            </w:pPr>
                            <w:bookmarkStart w:id="2" w:name="Sender"/>
                            <w:bookmarkEnd w:id="2"/>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3" w:name="DirectDial"/>
                            <w:bookmarkEnd w:id="3"/>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4" w:name="DirectFax"/>
                            <w:bookmarkEnd w:id="4"/>
                            <w:r>
                              <w:rPr/>
                              <w:br/>
                              <w:t xml:space="preserve">Internet: </w:t>
                            </w:r>
                            <w:r>
                              <w:rPr/>
                              <w:fldChar w:fldCharType="begin"/>
                            </w:r>
                            <w:r>
                              <w:rPr/>
                              <w:instrText xml:space="preserve"> DOCPROPERTY "EMail"</w:instrText>
                            </w:r>
                            <w:r>
                              <w:rPr/>
                              <w:fldChar w:fldCharType="separate"/>
                            </w:r>
                            <w:r>
                              <w:rPr/>
                              <w:t>dmitchel@cwt.com</w:t>
                            </w:r>
                            <w:r>
                              <w:rPr/>
                              <w:fldChar w:fldCharType="end"/>
                            </w:r>
                            <w:bookmarkStart w:id="5" w:name="EMail"/>
                            <w:bookmarkEnd w:id="5"/>
                          </w:p>
                        </w:txbxContent>
                      </wps:txbx>
                      <wps:bodyPr anchor="t" lIns="0" tIns="0" rIns="0" bIns="0">
                        <a:noAutofit/>
                      </wps:bodyPr>
                    </wps:wsp>
                  </a:graphicData>
                </a:graphic>
              </wp:anchor>
            </w:drawing>
          </mc:Choice>
          <mc:Fallback>
            <w:pict>
              <v:rect fillcolor="#FFFFFF" style="position:absolute;rotation:-0;width:53.55pt;height:76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6" w:name="Sender"/>
                      <w:bookmarkEnd w:id="6"/>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7" w:name="DirectDial"/>
                      <w:bookmarkEnd w:id="7"/>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8" w:name="DirectFax"/>
                      <w:bookmarkEnd w:id="8"/>
                      <w:r>
                        <w:rPr/>
                        <w:br/>
                        <w:t xml:space="preserve">Internet: </w:t>
                      </w:r>
                      <w:r>
                        <w:rPr/>
                        <w:fldChar w:fldCharType="begin"/>
                      </w:r>
                      <w:r>
                        <w:rPr/>
                        <w:instrText xml:space="preserve"> DOCPROPERTY "EMail"</w:instrText>
                      </w:r>
                      <w:r>
                        <w:rPr/>
                        <w:fldChar w:fldCharType="separate"/>
                      </w:r>
                      <w:r>
                        <w:rPr/>
                        <w:t>dmitchel@cwt.com</w:t>
                      </w:r>
                      <w:r>
                        <w:rPr/>
                        <w:fldChar w:fldCharType="end"/>
                      </w:r>
                      <w:bookmarkStart w:id="9" w:name="EMail"/>
                      <w:bookmarkEnd w:id="9"/>
                    </w:p>
                  </w:txbxContent>
                </v:textbox>
                <w10:wrap type="topAndBottom"/>
              </v:rect>
            </w:pict>
          </mc:Fallback>
        </mc:AlternateContent>
      </w:r>
    </w:p>
    <w:p>
      <w:pPr>
        <w:pStyle w:val="Normal"/>
        <w:spacing w:before="0" w:after="120"/>
        <w:jc w:val="end"/>
        <w:rPr>
          <w:spacing w:val="110"/>
          <w:sz w:val="36"/>
        </w:rPr>
      </w:pPr>
      <w:r>
        <w:rPr>
          <w:spacing w:val="110"/>
          <w:sz w:val="22"/>
        </w:rPr>
        <w:t>ATTORNEY WORK PRODUCT</w:t>
      </w:r>
    </w:p>
    <w:p>
      <w:pPr>
        <w:pStyle w:val="Normal"/>
        <w:spacing w:before="960" w:after="120"/>
        <w:rPr/>
      </w:pPr>
      <w:r>
        <w:rPr>
          <w:spacing w:val="110"/>
          <w:sz w:val="36"/>
        </w:rPr>
        <w:tab/>
        <w:tab/>
        <w:tab/>
        <w:tab/>
        <w:tab/>
      </w:r>
      <w:r>
        <w:rPr>
          <w:spacing w:val="110"/>
          <w:sz w:val="36"/>
          <w:u w:val="single"/>
        </w:rPr>
        <w:t>DRAFT</w:t>
      </w:r>
      <w:r>
        <w:rPr>
          <w:spacing w:val="110"/>
          <w:sz w:val="36"/>
        </w:rPr>
        <w:tab/>
        <w:tab/>
        <w:tab/>
      </w:r>
    </w:p>
    <w:p>
      <w:pPr>
        <w:pStyle w:val="Normal"/>
        <w:spacing w:before="0" w:after="120"/>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40"/>
        <w:gridCol w:w="4068"/>
        <w:gridCol w:w="4068"/>
      </w:tblGrid>
      <w:tr>
        <w:trPr/>
        <w:tc>
          <w:tcPr>
            <w:tcW w:w="1440" w:type="dxa"/>
            <w:tcBorders/>
          </w:tcPr>
          <w:p>
            <w:pPr>
              <w:pStyle w:val="Normal"/>
              <w:spacing w:before="240" w:after="0"/>
              <w:ind w:end="144"/>
              <w:jc w:val="end"/>
              <w:rPr>
                <w:b/>
              </w:rPr>
            </w:pPr>
            <w:r>
              <w:rPr>
                <w:b/>
              </w:rPr>
              <w:t>To:</w:t>
            </w:r>
          </w:p>
        </w:tc>
        <w:tc>
          <w:tcPr>
            <w:tcW w:w="4068" w:type="dxa"/>
            <w:tcBorders/>
          </w:tcPr>
          <w:p>
            <w:pPr>
              <w:pStyle w:val="Normal"/>
              <w:spacing w:before="240" w:after="0"/>
              <w:ind w:start="144" w:end="0"/>
              <w:rPr>
                <w:lang w:val="en-CA" w:eastAsia="en-CA"/>
              </w:rPr>
            </w:pPr>
            <w:bookmarkStart w:id="10" w:name="To"/>
            <w:bookmarkEnd w:id="10"/>
            <w:r>
              <w:rPr>
                <w:lang w:val="en-CA" w:eastAsia="en-CA"/>
              </w:rPr>
              <w:t>Sara Shackleton</w:t>
              <w:br/>
              <w:t>(Enron North America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40" w:type="dxa"/>
            <w:tcBorders/>
          </w:tcPr>
          <w:p>
            <w:pPr>
              <w:pStyle w:val="Normal"/>
              <w:spacing w:before="240" w:after="0"/>
              <w:ind w:end="144"/>
              <w:jc w:val="end"/>
              <w:rPr>
                <w:b/>
              </w:rPr>
            </w:pPr>
            <w:r>
              <w:rPr>
                <w:b/>
              </w:rPr>
              <w:t>From:</w:t>
            </w:r>
          </w:p>
        </w:tc>
        <w:tc>
          <w:tcPr>
            <w:tcW w:w="8136" w:type="dxa"/>
            <w:gridSpan w:val="2"/>
            <w:tcBorders/>
          </w:tcPr>
          <w:p>
            <w:pPr>
              <w:pStyle w:val="Normal"/>
              <w:spacing w:before="240" w:after="0"/>
              <w:ind w:start="144" w:end="0"/>
              <w:rPr>
                <w:lang w:val="en-CA" w:eastAsia="en-CA"/>
              </w:rPr>
            </w:pPr>
            <w:bookmarkStart w:id="11" w:name="From"/>
            <w:bookmarkEnd w:id="11"/>
            <w:r>
              <w:rPr>
                <w:lang w:val="en-CA" w:eastAsia="en-CA"/>
              </w:rPr>
              <w:t>David S. Mitchell</w:t>
              <w:br/>
              <w:t>Scott E. Eckas</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gridSpan w:val="2"/>
            <w:tcBorders/>
          </w:tcPr>
          <w:p>
            <w:pPr>
              <w:pStyle w:val="Normal"/>
              <w:spacing w:before="240" w:after="0"/>
              <w:ind w:start="144" w:end="0"/>
              <w:rPr/>
            </w:pPr>
            <w:r>
              <w:rPr/>
              <w:t>April 7,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gridSpan w:val="2"/>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3" w:name="Re"/>
            <w:bookmarkEnd w:id="13"/>
            <w:r>
              <w:rPr>
                <w:u w:val="single"/>
              </w:rPr>
              <w:t>Pulp and Paper Transactions</w:t>
            </w:r>
          </w:p>
        </w:tc>
      </w:tr>
      <w:tr>
        <w:trPr/>
        <w:tc>
          <w:tcPr>
            <w:tcW w:w="1440" w:type="dxa"/>
            <w:tcBorders/>
          </w:tcPr>
          <w:p>
            <w:pPr>
              <w:pStyle w:val="Normal"/>
              <w:snapToGrid w:val="false"/>
              <w:ind w:end="144"/>
              <w:jc w:val="end"/>
              <w:rPr>
                <w:b/>
                <w:u w:val="single"/>
              </w:rPr>
            </w:pPr>
            <w:r>
              <w:rPr>
                <w:b/>
                <w:u w:val="single"/>
              </w:rPr>
            </w:r>
          </w:p>
        </w:tc>
        <w:tc>
          <w:tcPr>
            <w:tcW w:w="8136" w:type="dxa"/>
            <w:gridSpan w:val="2"/>
            <w:tcBorders/>
          </w:tcPr>
          <w:p>
            <w:pPr>
              <w:pStyle w:val="Normal"/>
              <w:snapToGrid w:val="false"/>
              <w:ind w:start="144" w:end="0"/>
              <w:rPr>
                <w:b/>
              </w:rPr>
            </w:pPr>
            <w:r>
              <w:rPr>
                <w:b/>
              </w:rPr>
            </w:r>
          </w:p>
        </w:tc>
      </w:tr>
    </w:tbl>
    <w:p>
      <w:pPr>
        <w:pStyle w:val="BodyMain"/>
        <w:spacing w:lineRule="auto" w:line="480" w:before="480" w:after="0"/>
        <w:rPr/>
      </w:pPr>
      <w:bookmarkStart w:id="14" w:name="Body"/>
      <w:bookmarkEnd w:id="14"/>
      <w:r>
        <w:rPr/>
        <w:t>You have asked whether Enron North America Corp. (“ENA”) should consider providing supplemental risk disclosure statements or disclaimers to counterparties with whom ENA enters into pulp and paper swap transactions.  Our understanding of the pertinent facts is set forth below and is based upon telephone conversations with you, as well as our review of certain documents which you have furnished to us, as described herein.  As set forth more fully below, we believe it would be prudent for ENA to provide supplemental disclosure to counterparties engaging in pulp and paper swap transactions and to consider certain other steps to minimize its litigation risk relating to these transactions.</w:t>
      </w:r>
    </w:p>
    <w:p>
      <w:pPr>
        <w:pStyle w:val="BodyMain"/>
        <w:keepNext w:val="true"/>
        <w:keepLines/>
        <w:spacing w:lineRule="auto" w:line="480"/>
        <w:ind w:hanging="0" w:end="0"/>
        <w:rPr>
          <w:u w:val="single"/>
        </w:rPr>
      </w:pPr>
      <w:r>
        <w:rPr>
          <w:u w:val="single"/>
        </w:rPr>
        <w:t>FACTS</w:t>
      </w:r>
    </w:p>
    <w:p>
      <w:pPr>
        <w:pStyle w:val="BodyMain"/>
        <w:spacing w:lineRule="auto" w:line="480"/>
        <w:rPr/>
      </w:pPr>
      <w:r>
        <w:rPr/>
        <w:t>You have indicated that these pulp and paper swap transactions are settled in cash, generally have a term to maturity of 3-5 years, and are highly customized to satisfy the risk management needs of swap counterparties.  The typical counterparties are corporate end-users such as newspaper chains who incur exposure to fluctuating pulp and paper prices in connection with their businesses.  You have indicated further that this swap market is in its early stages and that frequently ENA may be the only dealer who is willing to provide quotations for proposed transactions or to enter into such transactions and that as a result it may be difficult for a counterparty to obtain a valuation for a transaction from other sources.</w:t>
      </w:r>
    </w:p>
    <w:p>
      <w:pPr>
        <w:pStyle w:val="BodyMain"/>
        <w:spacing w:lineRule="auto" w:line="480"/>
        <w:rPr/>
      </w:pPr>
      <w:r>
        <w:rPr/>
        <w:t>We understand that ENA documents these transactions on ISDA forms of master agreement and includes in its form of Schedule a generic “no reliance” disclaimer, as well as another disclaimer regarding the furnishing of trading information for pulp and paper transactions.  This latter disclaimer reads as follows:</w:t>
      </w:r>
    </w:p>
    <w:p>
      <w:pPr>
        <w:pStyle w:val="BodyMain"/>
        <w:spacing w:before="0" w:after="0"/>
        <w:ind w:hanging="0" w:start="1440" w:end="1440"/>
        <w:rPr/>
      </w:pPr>
      <w:r>
        <w:rPr/>
        <w:t>Counterparty acknowledges that although [ENA] has endeavored to comply with its request for verification of trading information with respect to certain transactions between [ENA] and Counterparty, [ENA] makes no representation or warranty as to the accuracy or completeness of the information provided.  [ENA] shall have no liability arising out of the use of the information or the reliance by Counterparty thereon.</w:t>
      </w:r>
    </w:p>
    <w:p>
      <w:pPr>
        <w:pStyle w:val="BodyMain"/>
        <w:spacing w:lineRule="auto" w:line="480"/>
        <w:rPr/>
      </w:pPr>
      <w:r>
        <w:rPr/>
        <w:t>In addition, you have indicated that ENA has adopted written policies concerning the provision of valuations to counterparties, which are set forth in its training program materials and a manual.  Among other things, these policies provide that (i) ENA is not obligated to provide valuations for a transaction to its counterparty; (ii) a commercial employee, after consultation with the relevant Risk Book Manager, may provide a valuation and, if so, should clearly state the characteristics of the valuation (</w:t>
      </w:r>
      <w:r>
        <w:rPr>
          <w:u w:val="single"/>
        </w:rPr>
        <w:t>e.g.</w:t>
      </w:r>
      <w:r>
        <w:rPr/>
        <w:t>, termination, indicative, or collateral exposure); (iii) any oral representation of termination value should be qualified with appropriate disclaimers and written valuations should include the same disclaimers; and (iv) all valuations, oral or written, should be recorded in both the Risk Book Manager’s and the employee’s notebooks.</w:t>
      </w:r>
    </w:p>
    <w:p>
      <w:pPr>
        <w:pStyle w:val="BodyMain"/>
        <w:spacing w:lineRule="auto" w:line="480"/>
        <w:ind w:hanging="0" w:end="0"/>
        <w:rPr>
          <w:u w:val="single"/>
        </w:rPr>
      </w:pPr>
      <w:r>
        <w:rPr>
          <w:u w:val="single"/>
        </w:rPr>
        <w:t>DISCUSSION</w:t>
      </w:r>
    </w:p>
    <w:p>
      <w:pPr>
        <w:pStyle w:val="BodyMain"/>
        <w:spacing w:lineRule="auto" w:line="480"/>
        <w:rPr/>
      </w:pPr>
      <w:r>
        <w:rPr/>
        <w:t>Because ENA frequently may be the only dealer who is willing to provide quotations for proposed transactions or to enter into such transactions, a counterparty may find it difficult to obtain a valuation for a proposed transaction or an outstanding transaction from a source other than ENA or to assess the reasonableness of any valuations provided by ENA.  In such circumstances, a counterparty may assert that it must be able to rely on ENA to a greater extent than is normally the case with respect to an arms’ length, principal-to-principal, privately negotiated transaction for which it is easy to obtain quotations from other dealers.  Similarly, we surmise that ENA has greater latitude in pricing the transactions as compared with more generic types of swap transactions for which a liquid market exists and tighter bid/ask spreads prevail.  For example, for pulp and paper transactions, even small changes in price may lead to large losses and collateral calls by ENA could escalate dramatically if the market moves against the counterparty’s position.  Also, since these transactions generally have a tenor of 3-5 years, there is a greater likelihood that a counterparty may seek to restructure the transaction during its term or unwind the transaction prior to maturity in response to changed conditions.</w:t>
      </w:r>
    </w:p>
    <w:p>
      <w:pPr>
        <w:pStyle w:val="BodyMain"/>
        <w:spacing w:lineRule="auto" w:line="480"/>
        <w:rPr/>
      </w:pPr>
      <w:r>
        <w:rPr/>
        <w:t>In view of the foregoing, we believe that ENA incurs greater potential litigation risk exposure with respect to these transactions than with respect to more common types of swap transactions for which a deep and liquid market exists.  While the generic “no reliance” disclaimer and the disclaimer concerning the provision of trading information undoubtedly provide some benefit, these provisions by themselves may not be sufficient in light of the heightened level of risk.  To address the increased level of risk, we have set forth certain recommendations in the following section of this memorandum.</w:t>
      </w:r>
    </w:p>
    <w:p>
      <w:pPr>
        <w:pStyle w:val="BodyMain"/>
        <w:spacing w:lineRule="auto" w:line="480"/>
        <w:ind w:hanging="0" w:end="0"/>
        <w:rPr>
          <w:u w:val="single"/>
        </w:rPr>
      </w:pPr>
      <w:r>
        <w:rPr>
          <w:u w:val="single"/>
        </w:rPr>
        <w:t>RECOMMENDATION</w:t>
      </w:r>
    </w:p>
    <w:p>
      <w:pPr>
        <w:pStyle w:val="BodyMain"/>
        <w:spacing w:lineRule="auto" w:line="480"/>
        <w:rPr/>
      </w:pPr>
      <w:r>
        <w:rPr/>
        <w:t>We recommend that ENA consider taking the following actions to minimize its litigation risk in connection with the pulp and paper swap transactions:</w:t>
      </w:r>
    </w:p>
    <w:p>
      <w:pPr>
        <w:pStyle w:val="BodyMain"/>
        <w:spacing w:lineRule="auto" w:line="480"/>
        <w:rPr/>
      </w:pPr>
      <w:r>
        <w:rPr>
          <w:u w:val="single"/>
        </w:rPr>
        <w:t>Additional Disclosure</w:t>
      </w:r>
      <w:r>
        <w:rPr/>
        <w:t>.  We recommend that that additional disclosure be included in the Schedule and on the confirmation to make clear the liquidity risk of these transactions and the difficulty that a counterparty may experience in establishing an independent value for an outstanding transaction.  We also recommend additional disclosure regarding the provision of valuations, including that any valuation given will not necessarily reflect ENA’s internal bookkeeping or theoretical model-based valuations of the transaction and that certain factors such as the creditworthiness of the counterparty, costs of carry, use of capital, and profit may substantially affect the value of any specific transaction.  We have set forth this language as an attachment hereto.  This additional language should be inserted in ENA’s Form of Schedule to the ISDA Master Agreement and an abbreviated version could be inserted in individual trade confirmations prior to execution of the ISDA Master Agreement with a counterparty.</w:t>
      </w:r>
    </w:p>
    <w:p>
      <w:pPr>
        <w:pStyle w:val="BodyMain"/>
        <w:spacing w:lineRule="auto" w:line="480"/>
        <w:rPr/>
      </w:pPr>
      <w:r>
        <w:rPr>
          <w:u w:val="single"/>
        </w:rPr>
        <w:t>Reasonableness of Pricing</w:t>
      </w:r>
      <w:r>
        <w:rPr/>
        <w:t xml:space="preserve">.  While ENA’s profit levels on such transactions is arguably irrelevant to any claim that a counterparty might make, we believe it is at least possible that a court would consider the reasonableness of the pricing (taking into account the customized nature of the transaction), particularly when a less sophisticated counterparty is involved.  Accordingly, we recommend that ENA take steps to verify that the methodology used by its traders to price these transactions is fair and commercially reasonable.  </w:t>
      </w:r>
    </w:p>
    <w:p>
      <w:pPr>
        <w:pStyle w:val="BodyMain"/>
        <w:spacing w:lineRule="auto" w:line="480"/>
        <w:rPr/>
      </w:pPr>
      <w:r>
        <w:rPr>
          <w:u w:val="single"/>
        </w:rPr>
        <w:t>Sophistication of Counterparties</w:t>
      </w:r>
      <w:r>
        <w:rPr/>
        <w:t>.  Given the customized nature of the swap transactions, the illiquidity of the market and the lack of easily obtainable quotations, we recommend that ENA carefully consider the level of sophistication of the counterparties with whom it is entering into such transactions.  Transactions with less sophisticated counterparties should receive greater scrutiny and monitoring.</w:t>
      </w:r>
    </w:p>
    <w:p>
      <w:pPr>
        <w:pStyle w:val="BodyMain"/>
        <w:spacing w:lineRule="auto" w:line="480"/>
        <w:rPr/>
      </w:pPr>
      <w:r>
        <w:rPr>
          <w:u w:val="single"/>
        </w:rPr>
        <w:t>Valuation Policy</w:t>
      </w:r>
      <w:r>
        <w:rPr/>
        <w:t>.  We recommend that ENA take steps to insure that its counterparties understand ENA’s valuation policy and that ENA’s employees are following such policy.</w:t>
      </w:r>
    </w:p>
    <w:p>
      <w:pPr>
        <w:pStyle w:val="BodyMain"/>
        <w:spacing w:lineRule="auto" w:line="480"/>
        <w:rPr/>
      </w:pPr>
      <w:r>
        <w:rPr>
          <w:u w:val="single"/>
        </w:rPr>
        <w:t>Appropriate Management Oversight</w:t>
      </w:r>
      <w:r>
        <w:rPr/>
        <w:t>.  We recommend that ENA employees pay special attention to the status of the pulp and paper transactions and that they involve ENA management sooner rather than later in any transaction in which the counterparty is incurring, or will likely incur, a significant loss.</w:t>
      </w:r>
    </w:p>
    <w:p>
      <w:pPr>
        <w:pStyle w:val="Normal"/>
        <w:spacing w:lineRule="auto" w:line="480"/>
        <w:jc w:val="center"/>
        <w:rPr/>
      </w:pPr>
      <w:r>
        <w:rPr/>
        <w:t>*</w:t>
        <w:tab/>
        <w:t>*</w:t>
        <w:tab/>
        <w:t>*</w:t>
        <w:tab/>
        <w:t>*</w:t>
        <w:tab/>
        <w:t>*</w:t>
        <w:tab/>
        <w:t>*</w:t>
      </w:r>
    </w:p>
    <w:p>
      <w:pPr>
        <w:pStyle w:val="BodyMain"/>
        <w:spacing w:lineRule="auto" w:line="480"/>
        <w:rPr/>
      </w:pPr>
      <w:r>
        <w:rPr/>
        <w:t>Please direct any questions or requests for additional detail regarding these issues to David S. Mitchell at (212) 504-6285 or Scott E. Eckas at (212) 504-6968.</w:t>
      </w:r>
    </w:p>
    <w:p>
      <w:pPr>
        <w:pStyle w:val="Normal"/>
        <w:spacing w:before="480" w:after="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463515.2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2000-04-07T12:04:00Z</dcterms:created>
  <dc:creator>smester</dc:creator>
  <dc:description>CWTMemo for March rollout</dc:description>
  <dc:language>en-CA</dc:language>
  <cp:lastModifiedBy>smester</cp:lastModifiedBy>
  <cp:lastPrinted>2000-04-06T16:40:00Z</cp:lastPrinted>
  <dcterms:modified xsi:type="dcterms:W3CDTF">2000-04-07T12:04:00Z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504-6285</vt:lpwstr>
  </property>
  <property fmtid="{D5CDD505-2E9C-101B-9397-08002B2CF9AE}" pid="4" name="DirectFax">
    <vt:lpwstr>(212) 504-5641</vt:lpwstr>
  </property>
  <property fmtid="{D5CDD505-2E9C-101B-9397-08002B2CF9AE}" pid="5" name="EMail">
    <vt:lpwstr>dmitchel@cwt.com</vt:lpwstr>
  </property>
  <property fmtid="{D5CDD505-2E9C-101B-9397-08002B2CF9AE}" pid="6" name="PCDOCS ID Info">
    <vt:lpwstr>CWT\{PCDOCS Library}\{filename}</vt:lpwstr>
  </property>
  <property fmtid="{D5CDD505-2E9C-101B-9397-08002B2CF9AE}" pid="7" name="PCDOCS ID Long">
    <vt:lpwstr>CWT\NYLIB1\463515.2</vt:lpwstr>
  </property>
  <property fmtid="{D5CDD505-2E9C-101B-9397-08002B2CF9AE}" pid="8" name="PCDOCS ID Short">
    <vt:lpwstr>463515.2</vt:lpwstr>
  </property>
  <property fmtid="{D5CDD505-2E9C-101B-9397-08002B2CF9AE}" pid="9" name="Sender">
    <vt:lpwstr>David S. Mitchell</vt:lpwstr>
  </property>
  <property fmtid="{D5CDD505-2E9C-101B-9397-08002B2CF9AE}" pid="10" name="VersionDate">
    <vt:lpwstr>4/1/99</vt:lpwstr>
  </property>
</Properties>
</file>