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986"/>
        <w:gridCol w:w="5310"/>
        <w:gridCol w:w="1447"/>
        <w:gridCol w:w="2965"/>
      </w:tblGrid>
      <w:tr>
        <w:trPr/>
        <w:tc>
          <w:tcPr>
            <w:tcW w:w="986" w:type="dxa"/>
            <w:tcBorders/>
          </w:tcPr>
          <w:p>
            <w:pPr>
              <w:pStyle w:val="Normal"/>
              <w:ind w:start="-180" w:end="0"/>
              <w:jc w:val="end"/>
              <w:rPr/>
            </w:pPr>
            <w:r>
              <w:rPr/>
              <w:t>To:</w:t>
            </w:r>
          </w:p>
        </w:tc>
        <w:tc>
          <w:tcPr>
            <w:tcW w:w="5310" w:type="dxa"/>
            <w:tcBorders/>
          </w:tcPr>
          <w:p>
            <w:pPr>
              <w:pStyle w:val="To"/>
              <w:rPr/>
            </w:pPr>
            <w:r>
              <w:rPr/>
              <w:t>Elizabeth Sager</w:t>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ind w:start="-180" w:end="0"/>
              <w:jc w:val="end"/>
              <w:rPr/>
            </w:pPr>
            <w:r>
              <w:rPr/>
              <w:t>From:</w:t>
            </w:r>
          </w:p>
        </w:tc>
        <w:tc>
          <w:tcPr>
            <w:tcW w:w="5310" w:type="dxa"/>
            <w:tcBorders/>
          </w:tcPr>
          <w:p>
            <w:pPr>
              <w:pStyle w:val="From"/>
              <w:rPr/>
            </w:pPr>
            <w:r>
              <w:rPr/>
              <w:t>Peter Keohane</w:t>
            </w:r>
          </w:p>
        </w:tc>
        <w:tc>
          <w:tcPr>
            <w:tcW w:w="1447" w:type="dxa"/>
            <w:tcBorders/>
          </w:tcPr>
          <w:p>
            <w:pPr>
              <w:pStyle w:val="Normal"/>
              <w:ind w:start="-180" w:end="0"/>
              <w:jc w:val="end"/>
              <w:rPr/>
            </w:pPr>
            <w:r>
              <w:rPr/>
              <w:t>Department:</w:t>
            </w:r>
          </w:p>
        </w:tc>
        <w:tc>
          <w:tcPr>
            <w:tcW w:w="2965" w:type="dxa"/>
            <w:tcBorders/>
          </w:tcPr>
          <w:p>
            <w:pPr>
              <w:pStyle w:val="Department"/>
              <w:rPr/>
            </w:pPr>
            <w:bookmarkStart w:id="0" w:name="From"/>
            <w:bookmarkEnd w:id="0"/>
            <w:r>
              <w:rPr/>
              <w:t>ECC Legal</w:t>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bottom w:val="single" w:sz="12" w:space="0" w:color="000000"/>
            </w:tcBorders>
          </w:tcPr>
          <w:p>
            <w:pPr>
              <w:pStyle w:val="Normal"/>
              <w:ind w:start="-180" w:end="0"/>
              <w:jc w:val="end"/>
              <w:rPr/>
            </w:pPr>
            <w:r>
              <w:rPr/>
              <w:t>Subject:</w:t>
            </w:r>
          </w:p>
        </w:tc>
        <w:tc>
          <w:tcPr>
            <w:tcW w:w="5310" w:type="dxa"/>
            <w:tcBorders>
              <w:bottom w:val="single" w:sz="12" w:space="0" w:color="000000"/>
            </w:tcBorders>
          </w:tcPr>
          <w:p>
            <w:pPr>
              <w:pStyle w:val="Subject"/>
              <w:jc w:val="start"/>
              <w:rPr/>
            </w:pPr>
            <w:r>
              <w:rPr/>
              <w:t>Trading Committee Meeting on May 23, 2001 at 11:00 a.m. (Central Time) - Setoff Issues</w:t>
            </w:r>
          </w:p>
        </w:tc>
        <w:tc>
          <w:tcPr>
            <w:tcW w:w="1447" w:type="dxa"/>
            <w:tcBorders>
              <w:bottom w:val="single" w:sz="12" w:space="0" w:color="000000"/>
            </w:tcBorders>
          </w:tcPr>
          <w:p>
            <w:pPr>
              <w:pStyle w:val="Normal"/>
              <w:ind w:start="-180" w:end="0"/>
              <w:jc w:val="end"/>
              <w:rPr/>
            </w:pPr>
            <w:r>
              <w:rPr/>
              <w:t>Date:</w:t>
            </w:r>
          </w:p>
        </w:tc>
        <w:tc>
          <w:tcPr>
            <w:tcW w:w="2965" w:type="dxa"/>
            <w:tcBorders>
              <w:bottom w:val="single" w:sz="12" w:space="0" w:color="000000"/>
            </w:tcBorders>
          </w:tcPr>
          <w:p>
            <w:pPr>
              <w:pStyle w:val="Date"/>
              <w:rPr/>
            </w:pPr>
            <w:r>
              <w:rPr/>
              <w:t>May 24, 2001</w:t>
            </w:r>
          </w:p>
        </w:tc>
      </w:tr>
    </w:tbl>
    <w:p>
      <w:pPr>
        <w:pStyle w:val="BodyText"/>
        <w:rPr>
          <w:sz w:val="20"/>
        </w:rPr>
      </w:pPr>
      <w:r>
        <w:rPr>
          <w:sz w:val="20"/>
        </w:rPr>
      </w:r>
      <w:bookmarkStart w:id="1" w:name="StartOfMemo"/>
      <w:bookmarkStart w:id="2" w:name="StartOfMemo"/>
      <w:bookmarkEnd w:id="2"/>
    </w:p>
    <w:p>
      <w:pPr>
        <w:pStyle w:val="Body"/>
        <w:rPr>
          <w:sz w:val="20"/>
        </w:rPr>
      </w:pPr>
      <w:r>
        <w:rPr>
          <w:sz w:val="20"/>
        </w:rPr>
      </w:r>
    </w:p>
    <w:p>
      <w:pPr>
        <w:pStyle w:val="Normal"/>
        <w:rPr/>
      </w:pPr>
      <w:r>
        <w:rPr/>
        <w:t>Further to our meeting and your memo of May 22:</w:t>
      </w:r>
    </w:p>
    <w:p>
      <w:pPr>
        <w:pStyle w:val="Normal"/>
        <w:rPr/>
      </w:pPr>
      <w:r>
        <w:rPr/>
      </w:r>
    </w:p>
    <w:p>
      <w:pPr>
        <w:pStyle w:val="Sharon1"/>
        <w:numPr>
          <w:ilvl w:val="0"/>
          <w:numId w:val="3"/>
        </w:numPr>
        <w:ind w:hanging="0" w:start="0"/>
        <w:rPr/>
      </w:pPr>
      <w:r>
        <w:rPr/>
        <w:t>As suggested by others, provided that the underlying Master does not otherwise provide, add the words "or deemed designation" following "designation" in the first line of the first paragraph.</w:t>
      </w:r>
    </w:p>
    <w:p>
      <w:pPr>
        <w:pStyle w:val="Sharon1"/>
        <w:numPr>
          <w:ilvl w:val="0"/>
          <w:numId w:val="3"/>
        </w:numPr>
        <w:ind w:hanging="0" w:start="0"/>
        <w:rPr/>
      </w:pPr>
      <w:r>
        <w:rPr/>
        <w:t>In the second line of the fourth paragraph, add "netting, off-set," after "setoff" and add "counterclaim," after "combination of accounts".  As certain agreements define "Setoff", whatever final clause is settled on would need to be tailored to reflect this (and any other) defined term.</w:t>
      </w:r>
    </w:p>
    <w:p>
      <w:pPr>
        <w:pStyle w:val="Sharon1"/>
        <w:numPr>
          <w:ilvl w:val="0"/>
          <w:numId w:val="3"/>
        </w:numPr>
        <w:ind w:hanging="0" w:start="0"/>
        <w:rPr/>
      </w:pPr>
      <w:r>
        <w:rPr/>
        <w:t>In a similar vein, the third paragraph deals with currency conversions and, depending upon the form in question, there may be a separate currency conversion clause.</w:t>
      </w:r>
    </w:p>
    <w:p>
      <w:pPr>
        <w:pStyle w:val="Sharon1"/>
        <w:numPr>
          <w:ilvl w:val="0"/>
          <w:numId w:val="3"/>
        </w:numPr>
        <w:ind w:hanging="0" w:start="0"/>
        <w:rPr/>
      </w:pPr>
      <w:r>
        <w:rPr/>
        <w:t>Do with it what you will, but I want to confirm my suggestion that if "triangular" (or "rectangular") setoff is used, the privity of contract issue can be bolstered by incorporating language whereby the parties acknowledge that each is executing on behalf of itself as principal and as agent on behalf of its affiliates who are expressed as obtaining rights and having obligations under the contract, with the intention that such affiliates should benefit or be bound by such provision as if they were direct parties.  As I mentioned, this is a concept I have seen in indemnity clauses where there are non-party beneficiaries.</w:t>
      </w:r>
    </w:p>
    <w:p>
      <w:pPr>
        <w:pStyle w:val="Sharon1"/>
        <w:numPr>
          <w:ilvl w:val="0"/>
          <w:numId w:val="3"/>
        </w:numPr>
        <w:ind w:hanging="0" w:start="0"/>
        <w:rPr/>
      </w:pPr>
      <w:r>
        <w:rPr/>
        <w:t>Although we did not discuss it on the phone, and again do with it what you will, but one of my thoughts was that we could also incorporate acknowledgement language respecting mutuality, to the effect that the "triangular" (or "rectangular") setoff rights with respect to other agreements, etc. are intrinsically related to one another for the purposes of entering into transactions and extending credit under the agreement and as a material inducement to entering into the agreement.</w:t>
      </w:r>
    </w:p>
    <w:p>
      <w:pPr>
        <w:pStyle w:val="Normal"/>
        <w:rPr/>
      </w:pPr>
      <w:r>
        <w:rPr/>
        <w:t>With respect to your other issues, I confirm my view on the following:</w:t>
      </w:r>
    </w:p>
    <w:p>
      <w:pPr>
        <w:pStyle w:val="Normal"/>
        <w:rPr/>
      </w:pPr>
      <w:r>
        <w:rPr/>
      </w:r>
    </w:p>
    <w:p>
      <w:pPr>
        <w:pStyle w:val="Sharon2"/>
        <w:numPr>
          <w:ilvl w:val="0"/>
          <w:numId w:val="2"/>
        </w:numPr>
        <w:ind w:hanging="0" w:start="0"/>
        <w:rPr/>
      </w:pPr>
      <w:r>
        <w:rPr/>
        <w:t>We should adapt a broader setoff that applies regardless of the party to whom the ETP is payable.</w:t>
      </w:r>
    </w:p>
    <w:p>
      <w:pPr>
        <w:pStyle w:val="Sharon2"/>
        <w:numPr>
          <w:ilvl w:val="0"/>
          <w:numId w:val="2"/>
        </w:numPr>
        <w:ind w:hanging="0" w:start="0"/>
        <w:rPr/>
      </w:pPr>
      <w:r>
        <w:rPr/>
        <w:t>I would have concerns about commercial acceptability and/or enforceability if we adopt a setoff standard that permits setoff of amounts that are not yet due, accelerated or accrued.</w:t>
      </w:r>
    </w:p>
    <w:p>
      <w:pPr>
        <w:pStyle w:val="Sharon2"/>
        <w:numPr>
          <w:ilvl w:val="0"/>
          <w:numId w:val="2"/>
        </w:numPr>
        <w:ind w:hanging="0" w:start="0"/>
        <w:rPr/>
      </w:pPr>
      <w:r>
        <w:rPr/>
        <w:t>As to whether we would prefer "triangular" or "rectangular" setoff, I defer to you and your discussions with outside counsel on this point.</w:t>
      </w:r>
    </w:p>
    <w:p>
      <w:pPr>
        <w:pStyle w:val="Normal"/>
        <w:rPr/>
      </w:pPr>
      <w:r>
        <w:rPr/>
        <w:t>Lastly, I want to confirm that once we have settled on setoff language, I will want to have same reviewed by outside counsel for enforceability within our jurisdictions, together with consideration of the applicability of severance provisions in the event that the clause is unenforceable in whole or in part.  As I mentioned, as a general proposition, within our jurisdiction the setoff will be enforceable either as a binding contractual right or as an equitable right through mutuality.  As a contractual right my concerns would be in the following areas:</w:t>
      </w:r>
    </w:p>
    <w:p>
      <w:pPr>
        <w:pStyle w:val="Normal"/>
        <w:rPr/>
      </w:pPr>
      <w:r>
        <w:rPr/>
      </w:r>
    </w:p>
    <w:p>
      <w:pPr>
        <w:pStyle w:val="Sharon3"/>
        <w:numPr>
          <w:ilvl w:val="0"/>
          <w:numId w:val="1"/>
        </w:numPr>
        <w:ind w:hanging="0" w:start="0"/>
        <w:rPr/>
      </w:pPr>
      <w:r>
        <w:rPr/>
        <w:t>privity of contract (for "triangular" or "rectangular" setoff);</w:t>
      </w:r>
    </w:p>
    <w:p>
      <w:pPr>
        <w:pStyle w:val="Sharon3"/>
        <w:numPr>
          <w:ilvl w:val="0"/>
          <w:numId w:val="1"/>
        </w:numPr>
        <w:ind w:hanging="0" w:start="0"/>
        <w:rPr/>
      </w:pPr>
      <w:r>
        <w:rPr/>
        <w:t>rights of estimation, or rights in respect of amounts not yet due or payable for unperformed or prospective obligations; and</w:t>
      </w:r>
    </w:p>
    <w:p>
      <w:pPr>
        <w:pStyle w:val="Sharon3"/>
        <w:numPr>
          <w:ilvl w:val="0"/>
          <w:numId w:val="1"/>
        </w:numPr>
        <w:ind w:hanging="0" w:start="0"/>
        <w:rPr/>
      </w:pPr>
      <w:r>
        <w:rPr/>
        <w:t>if the clause is unenforceable, in whole or in part, how best to structure the clause such that an operative severance clause would permit the striking only of the "offending" provisions while preserving to us the "non-offending" provisions.  (For example, we could consider breaking the clause down into separate clauses, the first dealing with setoff as between the parties, the second dealing with "triangular" or "rectangular" setoff, the third dealing with estimation of amounts, the fourth dealing with amounts not yet due, etc., with the intent that the offending provision would be separately severable while preserving the non-offending provisions.)</w:t>
      </w:r>
    </w:p>
    <w:p>
      <w:pPr>
        <w:pStyle w:val="Normal"/>
        <w:rPr/>
      </w:pPr>
      <w:r>
        <w:rPr/>
        <w:t>Many thanks.  Call me if you want to discuss.</w:t>
      </w:r>
    </w:p>
    <w:p>
      <w:pPr>
        <w:pStyle w:val="Normal"/>
        <w:rPr/>
      </w:pPr>
      <w:r>
        <w:rPr/>
      </w:r>
    </w:p>
    <w:p>
      <w:pPr>
        <w:pStyle w:val="Normal"/>
        <w:rPr/>
      </w:pPr>
      <w:r>
        <w:rPr/>
      </w:r>
    </w:p>
    <w:p>
      <w:pPr>
        <w:pStyle w:val="Normal"/>
        <w:rPr/>
      </w:pPr>
      <w:r>
        <w:rPr/>
        <w:t>Regards,</w:t>
      </w:r>
    </w:p>
    <w:p>
      <w:pPr>
        <w:pStyle w:val="Normal"/>
        <w:rPr/>
      </w:pPr>
      <w:r>
        <w:rPr/>
        <w:t>Peter</w:t>
      </w:r>
    </w:p>
    <w:sectPr>
      <w:headerReference w:type="default" r:id="rId3"/>
      <w:headerReference w:type="first" r:id="rId4"/>
      <w:footerReference w:type="default" r:id="rId5"/>
      <w:footerReference w:type="first" r:id="rId6"/>
      <w:type w:val="nextPage"/>
      <w:pgSz w:w="12240" w:h="15840"/>
      <w:pgMar w:left="720" w:right="720" w:gutter="0" w:header="720" w:top="776"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3240" w:leader="none"/>
        <w:tab w:val="left" w:pos="648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rFonts w:ascii="Arial Narrow" w:hAnsi="Arial Narrow" w:cs="Arial Narrow"/>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/mnt/main-storage/datasets/enron-docs/doc/Memo_to_Sager.05_23_01.doc</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3240" w:leader="none"/>
        <w:tab w:val="left" w:pos="648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fldChar w:fldCharType="begin"/>
    </w:r>
    <w:r>
      <w:rPr/>
      <w:instrText xml:space="preserve"> FILENAME \p </w:instrText>
    </w:r>
    <w:r>
      <w:rPr/>
      <w:fldChar w:fldCharType="separate"/>
    </w:r>
    <w:r>
      <w:rPr/>
      <w:t>/mnt/main-storage/datasets/enron-docs/doc/Memo_to_Sager.05_23_01.doc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pBdr>
        <w:top w:val="single" w:sz="4"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vanish w:val="false"/>
        <w:rFonts w:ascii="Helvetica" w:hAnsi="Helvetica" w:cs="Helvetica"/>
      </w:rPr>
    </w:lvl>
  </w:abstractNum>
  <w:abstractNum w:abstractNumId="2">
    <w:lvl w:ilvl="0">
      <w:start w:val="1"/>
      <w:numFmt w:val="lowerLetter"/>
      <w:lvlText w:val="(%1)"/>
      <w:lvlJc w:val="start"/>
      <w:pPr>
        <w:tabs>
          <w:tab w:val="num" w:pos="1440"/>
        </w:tabs>
        <w:ind w:start="1440" w:hanging="720"/>
      </w:pPr>
      <w:rPr>
        <w:sz w:val="20"/>
        <w:rFonts w:ascii="Arial" w:hAnsi="Arial" w:cs="Arial"/>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720"/>
        </w:tabs>
        <w:ind w:start="720" w:hanging="720"/>
      </w:pPr>
      <w:rPr>
        <w:sz w:val="20"/>
        <w:rFonts w:ascii="Arial" w:hAnsi="Arial" w:cs="Arial"/>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000080"/>
      <w:sz w:val="20"/>
      <w:szCs w:val="20"/>
      <w:lang w:val="en-US" w:bidi="ar-SA" w:eastAsia="zh-CN"/>
    </w:rPr>
  </w:style>
  <w:style w:type="character" w:styleId="WW8Num1z0">
    <w:name w:val="WW8Num1z0"/>
    <w:qFormat/>
    <w:rPr>
      <w:rFonts w:ascii="Helvetica" w:hAnsi="Helvetica" w:cs="Helvetica"/>
      <w:b w:val="false"/>
      <w:i w:val="false"/>
      <w:caps w:val="false"/>
      <w:smallCaps w:val="false"/>
      <w:strike w:val="false"/>
      <w:dstrike w:val="false"/>
      <w:outline w:val="false"/>
      <w:shadow w:val="false"/>
      <w:vanish w:val="false"/>
      <w:position w:val="0"/>
      <w:sz w:val="20"/>
      <w:sz w:val="20"/>
      <w:vertAlign w:val="baseline"/>
    </w:rPr>
  </w:style>
  <w:style w:type="character" w:styleId="WW8Num2z0">
    <w:name w:val="WW8Num2z0"/>
    <w:qFormat/>
    <w:rPr>
      <w:rFonts w:ascii="Arial" w:hAnsi="Arial" w:cs="Arial"/>
      <w:sz w:val="20"/>
    </w:rPr>
  </w:style>
  <w:style w:type="character" w:styleId="WW8Num2z1">
    <w:name w:val="WW8Num2z1"/>
    <w:qFormat/>
    <w:rPr/>
  </w:style>
  <w:style w:type="character" w:styleId="WW8Num3z0">
    <w:name w:val="WW8Num3z0"/>
    <w:qFormat/>
    <w:rPr>
      <w:rFonts w:ascii="Arial" w:hAnsi="Arial" w:cs="Arial"/>
      <w:sz w:val="20"/>
    </w:rPr>
  </w:style>
  <w:style w:type="character" w:styleId="WW8Num3z1">
    <w:name w:val="WW8Num3z1"/>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z w:val="20"/>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rPr>
      <w:sz w:val="20"/>
    </w:rPr>
  </w:style>
  <w:style w:type="paragraph" w:styleId="Department">
    <w:name w:val="Department"/>
    <w:basedOn w:val="Normal"/>
    <w:qFormat/>
    <w:pPr/>
    <w:rPr>
      <w:rFonts w:ascii="Arial" w:hAnsi="Arial" w:cs="Arial"/>
    </w:rPr>
  </w:style>
  <w:style w:type="paragraph" w:styleId="Sharon1">
    <w:name w:val="Sharon1"/>
    <w:basedOn w:val="Normal"/>
    <w:qFormat/>
    <w:pPr>
      <w:numPr>
        <w:ilvl w:val="0"/>
        <w:numId w:val="3"/>
      </w:numPr>
      <w:spacing w:before="0" w:after="240"/>
    </w:pPr>
    <w:rPr>
      <w:sz w:val="20"/>
    </w:rPr>
  </w:style>
  <w:style w:type="paragraph" w:styleId="Sharon2">
    <w:name w:val="Sharon2"/>
    <w:basedOn w:val="Normal"/>
    <w:qFormat/>
    <w:pPr>
      <w:numPr>
        <w:ilvl w:val="0"/>
        <w:numId w:val="2"/>
      </w:numPr>
      <w:spacing w:before="0" w:after="240"/>
    </w:pPr>
    <w:rPr>
      <w:rFonts w:ascii="Helvetica" w:hAnsi="Helvetica" w:cs="Helvetica"/>
    </w:rPr>
  </w:style>
  <w:style w:type="paragraph" w:styleId="Sharon3">
    <w:name w:val="Sharon3"/>
    <w:basedOn w:val="Normal"/>
    <w:qFormat/>
    <w:pPr>
      <w:numPr>
        <w:ilvl w:val="0"/>
        <w:numId w:val="1"/>
      </w:numPr>
      <w:spacing w:before="0" w:after="240"/>
    </w:pPr>
    <w:rPr>
      <w:rFonts w:ascii="Helvetica" w:hAnsi="Helvetica" w:cs="Helvetica"/>
      <w:color w:val="000000"/>
      <w:szCs w:val="24"/>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2001-05-23T18:18:00Z</dcterms:created>
  <dc:creator>scrawfo3</dc:creator>
  <dc:description/>
  <dc:language>en-CA</dc:language>
  <cp:lastModifiedBy>scrawfo3</cp:lastModifiedBy>
  <cp:lastPrinted>2001-05-24T12:44:00Z</cp:lastPrinted>
  <dcterms:modified xsi:type="dcterms:W3CDTF">2001-05-24T16:14:00Z</dcterms:modified>
  <cp:revision>7</cp:revision>
  <dc:subject/>
  <dc:title> </dc:title>
</cp:coreProperties>
</file>