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 E M O R A N D U M</w:t>
      </w:r>
    </w:p>
    <w:p>
      <w:pPr>
        <w:pStyle w:val="Normal"/>
        <w:jc w:val="center"/>
        <w:rPr>
          <w:b/>
          <w:bCs/>
        </w:rPr>
      </w:pPr>
      <w:r>
        <w:rPr>
          <w:b/>
          <w:bCs/>
        </w:rPr>
      </w:r>
    </w:p>
    <w:p>
      <w:pPr>
        <w:pStyle w:val="Normal"/>
        <w:rPr>
          <w:b/>
          <w:bCs/>
        </w:rPr>
      </w:pPr>
      <w:r>
        <w:rPr>
          <w:b/>
          <w:bCs/>
        </w:rPr>
      </w:r>
    </w:p>
    <w:p>
      <w:pPr>
        <w:pStyle w:val="Normal"/>
        <w:rPr/>
      </w:pPr>
      <w:r>
        <w:rPr/>
      </w:r>
    </w:p>
    <w:p>
      <w:pPr>
        <w:pStyle w:val="Normal"/>
        <w:rPr/>
      </w:pPr>
      <w:r>
        <w:rPr/>
      </w:r>
    </w:p>
    <w:p>
      <w:pPr>
        <w:pStyle w:val="Normal"/>
        <w:rPr/>
      </w:pPr>
      <w:r>
        <w:rPr/>
        <w:t>To:</w:t>
        <w:tab/>
        <w:tab/>
        <w:t>Rick Shapiro</w:t>
      </w:r>
    </w:p>
    <w:p>
      <w:pPr>
        <w:pStyle w:val="Normal"/>
        <w:rPr/>
      </w:pPr>
      <w:r>
        <w:rPr/>
      </w:r>
    </w:p>
    <w:p>
      <w:pPr>
        <w:pStyle w:val="Normal"/>
        <w:rPr/>
      </w:pPr>
      <w:r>
        <w:rPr/>
        <w:t>From:</w:t>
        <w:tab/>
        <w:tab/>
        <w:t>Linda Robertson</w:t>
      </w:r>
    </w:p>
    <w:p>
      <w:pPr>
        <w:pStyle w:val="Normal"/>
        <w:rPr/>
      </w:pPr>
      <w:r>
        <w:rPr/>
        <w:tab/>
        <w:tab/>
        <w:t>Sarah Novosel</w:t>
      </w:r>
    </w:p>
    <w:p>
      <w:pPr>
        <w:pStyle w:val="Normal"/>
        <w:rPr/>
      </w:pPr>
      <w:r>
        <w:rPr/>
      </w:r>
    </w:p>
    <w:p>
      <w:pPr>
        <w:pStyle w:val="Normal"/>
        <w:rPr/>
      </w:pPr>
      <w:r>
        <w:rPr/>
        <w:t>Date:</w:t>
        <w:tab/>
        <w:tab/>
        <w:t>May 1, 2001</w:t>
      </w:r>
    </w:p>
    <w:p>
      <w:pPr>
        <w:pStyle w:val="Normal"/>
        <w:rPr/>
      </w:pPr>
      <w:r>
        <w:rPr/>
      </w:r>
    </w:p>
    <w:p>
      <w:pPr>
        <w:pStyle w:val="Normal"/>
        <w:rPr/>
      </w:pPr>
      <w:r>
        <w:rPr/>
        <w:t>Re:</w:t>
        <w:tab/>
        <w:tab/>
        <w:t>FERC Regulatory Group Restructuring</w:t>
      </w:r>
    </w:p>
    <w:p>
      <w:pPr>
        <w:pStyle w:val="Normal"/>
        <w:rPr/>
      </w:pPr>
      <w:r>
        <w:rPr/>
      </w:r>
    </w:p>
    <w:p>
      <w:pPr>
        <w:pStyle w:val="Normal"/>
        <w:rPr/>
      </w:pPr>
      <w:r>
        <w:rPr/>
      </w:r>
    </w:p>
    <w:p>
      <w:pPr>
        <w:pStyle w:val="Normal"/>
        <w:rPr/>
      </w:pPr>
      <w:r>
        <w:rPr/>
        <w:t xml:space="preserve">We met with Jim Steffes last week to discuss how best to restructure the Washington office given Joe’s recent departure.  As described in more detail below, we propose to restructure the Washington office to meet the following goals:  </w:t>
      </w:r>
    </w:p>
    <w:p>
      <w:pPr>
        <w:pStyle w:val="Normal"/>
        <w:rPr/>
      </w:pPr>
      <w:r>
        <w:rPr/>
      </w:r>
    </w:p>
    <w:p>
      <w:pPr>
        <w:pStyle w:val="Normal"/>
        <w:numPr>
          <w:ilvl w:val="0"/>
          <w:numId w:val="1"/>
        </w:numPr>
        <w:rPr/>
      </w:pPr>
      <w:r>
        <w:rPr/>
        <w:t xml:space="preserve">Enhance Enron’s presence and intelligence-gathering functions at FERC; </w:t>
      </w:r>
    </w:p>
    <w:p>
      <w:pPr>
        <w:pStyle w:val="Normal"/>
        <w:numPr>
          <w:ilvl w:val="0"/>
          <w:numId w:val="1"/>
        </w:numPr>
        <w:rPr/>
      </w:pPr>
      <w:r>
        <w:rPr/>
        <w:t xml:space="preserve">Coordinate and formulate policy decisions with Houston; </w:t>
      </w:r>
    </w:p>
    <w:p>
      <w:pPr>
        <w:pStyle w:val="Normal"/>
        <w:numPr>
          <w:ilvl w:val="0"/>
          <w:numId w:val="1"/>
        </w:numPr>
        <w:rPr/>
      </w:pPr>
      <w:r>
        <w:rPr/>
        <w:t xml:space="preserve">Ensure message consistency at FERC; </w:t>
      </w:r>
    </w:p>
    <w:p>
      <w:pPr>
        <w:pStyle w:val="Normal"/>
        <w:numPr>
          <w:ilvl w:val="0"/>
          <w:numId w:val="1"/>
        </w:numPr>
        <w:rPr/>
      </w:pPr>
      <w:r>
        <w:rPr/>
        <w:t xml:space="preserve">Develop strategies for the best ways to advance Enron’s messages; and </w:t>
      </w:r>
    </w:p>
    <w:p>
      <w:pPr>
        <w:pStyle w:val="Normal"/>
        <w:numPr>
          <w:ilvl w:val="0"/>
          <w:numId w:val="1"/>
        </w:numPr>
        <w:rPr/>
      </w:pPr>
      <w:r>
        <w:rPr/>
        <w:t xml:space="preserve">Handle the majority of the day-to-day FERC functions, including tracking and notifying people of new proceedings at FERC, summarizing important FERC orders and meetings, and drafting and filing the less complex FERC pleadings in-house.  </w:t>
      </w:r>
    </w:p>
    <w:p>
      <w:pPr>
        <w:pStyle w:val="Normal"/>
        <w:rPr/>
      </w:pPr>
      <w:r>
        <w:rPr/>
      </w:r>
    </w:p>
    <w:p>
      <w:pPr>
        <w:pStyle w:val="Normal"/>
        <w:rPr/>
      </w:pPr>
      <w:r>
        <w:rPr/>
        <w:t>Currently, Bracewell performs many of these tasks and others are not being performed, mainly due to lack of time.  By restructuring and refocusing responsibilities in the Washington office and hiring three new people (one professional to replace Joe, two paralegals), we believe that we can perform tasks in-house in order to meet these goals.</w:t>
      </w:r>
    </w:p>
    <w:p>
      <w:pPr>
        <w:pStyle w:val="Normal"/>
        <w:rPr/>
      </w:pPr>
      <w:r>
        <w:rPr/>
      </w:r>
    </w:p>
    <w:p>
      <w:pPr>
        <w:pStyle w:val="Normal"/>
        <w:rPr/>
      </w:pPr>
      <w:r>
        <w:rPr/>
        <w:t>We propose to restructure the responsibilities of Wholesale Regulatory Affairs (including regional people and Washington people) so that all FERC-related work goes through Washington (see attached chart).  Linda will be the lead for the Washington FERC group and Sarah will work closely with Linda to ensure that our goals are being met on a day-to-day basis.  Ray will be responsible for leading the Western FERC effort and will work closely with the western team in our advocacy at FERC.  Donna will be responsible for leading the Midwest and Southeast FERC effort and will work closely with the Midwest and Southeast people.  A new person will be hired to lead the Northeast FERC effort, working closely with the northeast people to lead that effort.  Additionally, Donna will be responsible for leading the ENA gas marketing group’s efforts at FERC.</w:t>
      </w:r>
    </w:p>
    <w:p>
      <w:pPr>
        <w:pStyle w:val="Normal"/>
        <w:rPr/>
      </w:pPr>
      <w:r>
        <w:rPr/>
      </w:r>
    </w:p>
    <w:p>
      <w:pPr>
        <w:pStyle w:val="Normal"/>
        <w:rPr/>
      </w:pPr>
      <w:r>
        <w:rPr/>
        <w:t xml:space="preserve">Our goals are to perform more of the day-to-day FERC work in-house.  This includes having our own paralegals track all new and existing FERC proceedings, intervening and taking positions in those proceedings in the less complex proceedings when we determine that Enron’s presence is needed, and reporting to the commercial people and the Regulatory Affairs group of important FERC actions.  </w:t>
      </w:r>
    </w:p>
    <w:p>
      <w:pPr>
        <w:pStyle w:val="Normal"/>
        <w:rPr/>
      </w:pPr>
      <w:r>
        <w:rPr/>
      </w:r>
    </w:p>
    <w:p>
      <w:pPr>
        <w:pStyle w:val="Normal"/>
        <w:rPr>
          <w:b/>
          <w:bCs/>
          <w:i/>
          <w:i/>
          <w:iCs/>
        </w:rPr>
      </w:pPr>
      <w:r>
        <w:rPr>
          <w:b/>
          <w:bCs/>
          <w:i/>
          <w:iCs/>
        </w:rPr>
        <w:t>FERC Relationships</w:t>
      </w:r>
    </w:p>
    <w:p>
      <w:pPr>
        <w:pStyle w:val="Normal"/>
        <w:rPr/>
      </w:pPr>
      <w:r>
        <w:rPr/>
      </w:r>
    </w:p>
    <w:p>
      <w:pPr>
        <w:pStyle w:val="Normal"/>
        <w:rPr/>
      </w:pPr>
      <w:r>
        <w:rPr/>
        <w:t xml:space="preserve">The Washington team will also be responsible for developing relationships at FERC.  Linda will be the key person responsible for FERC Commissioner relationships.  Linda will develop her own relationships with the Commissioners and will be responsible for arranging periodic meetings with Commissioners for senior Enron executives, including Steve Kean, Rick Shapiro, Jim Steffes and key commercial heads.  </w:t>
      </w:r>
    </w:p>
    <w:p>
      <w:pPr>
        <w:pStyle w:val="Normal"/>
        <w:rPr/>
      </w:pPr>
      <w:r>
        <w:rPr/>
      </w:r>
    </w:p>
    <w:p>
      <w:pPr>
        <w:pStyle w:val="Normal"/>
        <w:rPr/>
      </w:pPr>
      <w:r>
        <w:rPr/>
        <w:t>With regard to Commissioner assistants and key FERC staff, Sarah will work with the Washington FERC team to ensure that all Commissioner assistants and key staff are “assigned” to one of the Washington people.  Furthermore, Sarah will coordinate the Washington team’s efforts to develop better relationships with FERC staff and increase efforts to educate FERC staff on issues of importance to Enron.  The entire Washington FERC team will be responsible for developing relationships with FERC personnel.</w:t>
      </w:r>
    </w:p>
    <w:p>
      <w:pPr>
        <w:pStyle w:val="Normal"/>
        <w:rPr/>
      </w:pPr>
      <w:r>
        <w:rPr/>
      </w:r>
    </w:p>
    <w:p>
      <w:pPr>
        <w:pStyle w:val="Normal"/>
        <w:rPr>
          <w:b/>
          <w:bCs/>
          <w:i/>
          <w:i/>
          <w:iCs/>
        </w:rPr>
      </w:pPr>
      <w:r>
        <w:rPr>
          <w:b/>
          <w:bCs/>
          <w:i/>
          <w:iCs/>
        </w:rPr>
        <w:t>Policy Development</w:t>
      </w:r>
    </w:p>
    <w:p>
      <w:pPr>
        <w:pStyle w:val="Normal"/>
        <w:rPr/>
      </w:pPr>
      <w:r>
        <w:rPr/>
      </w:r>
    </w:p>
    <w:p>
      <w:pPr>
        <w:pStyle w:val="Normal"/>
        <w:rPr/>
      </w:pPr>
      <w:r>
        <w:rPr/>
        <w:t>Houston will continue to take the lead in developing Enron’s policies, and the Washington team will participate in that development.  Once the policies are developed, it will be the Washington team’s responsibility to advance those policies at FERC.  The Washington team will be responsible for deciding how best to advance Enron’s policies, including deciding which proceedings to participate in and whether Enron’s presence as a market leader is necessary.  If the Washington team determines that EPSA or another group can advance Enron’s positions, the Washington team will be responsible for working with that group to prepare the group’s pleadings.</w:t>
      </w:r>
    </w:p>
    <w:p>
      <w:pPr>
        <w:pStyle w:val="Normal"/>
        <w:rPr/>
      </w:pPr>
      <w:r>
        <w:rPr/>
      </w:r>
    </w:p>
    <w:p>
      <w:pPr>
        <w:pStyle w:val="Normal"/>
        <w:rPr/>
      </w:pPr>
      <w:r>
        <w:rPr/>
        <w:t>We must also ensure that Enron is advancing a consistent message at FERC and in the regions.  Sarah will coordinate closely with Christi to ensure that our messages are consistent between FERC and the regions, and Sarah will be responsible for ensuring that the positions we take at FERC are consistent.</w:t>
      </w:r>
    </w:p>
    <w:p>
      <w:pPr>
        <w:pStyle w:val="Normal"/>
        <w:rPr/>
      </w:pPr>
      <w:r>
        <w:rPr/>
      </w:r>
    </w:p>
    <w:p>
      <w:pPr>
        <w:pStyle w:val="Normal"/>
        <w:rPr>
          <w:b/>
          <w:bCs/>
          <w:i/>
          <w:i/>
          <w:iCs/>
        </w:rPr>
      </w:pPr>
      <w:r>
        <w:rPr>
          <w:b/>
          <w:bCs/>
          <w:i/>
          <w:iCs/>
        </w:rPr>
        <w:t>Moving Work In-House</w:t>
      </w:r>
    </w:p>
    <w:p>
      <w:pPr>
        <w:pStyle w:val="Normal"/>
        <w:rPr/>
      </w:pPr>
      <w:r>
        <w:rPr/>
      </w:r>
    </w:p>
    <w:p>
      <w:pPr>
        <w:pStyle w:val="Normal"/>
        <w:rPr/>
      </w:pPr>
      <w:r>
        <w:rPr/>
        <w:t xml:space="preserve">The attached spreadsheets show our regulatory legal fees for the years 1998, 1999 and 2000.  We have also broken out the specific worked performed by Bracewell &amp; Patterson for the year 2000.  </w:t>
      </w:r>
    </w:p>
    <w:p>
      <w:pPr>
        <w:pStyle w:val="Normal"/>
        <w:rPr/>
      </w:pPr>
      <w:r>
        <w:rPr/>
      </w:r>
    </w:p>
    <w:p>
      <w:pPr>
        <w:pStyle w:val="Normal"/>
        <w:rPr/>
      </w:pPr>
      <w:r>
        <w:rPr/>
        <w:t xml:space="preserve">As indicated on the spreadsheets, we are spending a considerable amount of money on outside legal services.  Of course, much of this work must remain with outside counsel (e.g., Court of Appeals cases, Supreme Court cases, BPA rate case, cases that go to hearing, etc.), but there is a significant amount of work that we can do in the Washington office, provided that we have the time and administrative/paralegal support to perform the work.  The detailed breakout of the worked that was performed by Bracewell in year 2000 provides a good indication of what type of work we have routinely relied on Bracewell to perform, and what type of work we are capable of performing ourselves.  </w:t>
      </w:r>
    </w:p>
    <w:p>
      <w:pPr>
        <w:pStyle w:val="Normal"/>
        <w:rPr/>
      </w:pPr>
      <w:r>
        <w:rPr/>
      </w:r>
    </w:p>
    <w:p>
      <w:pPr>
        <w:pStyle w:val="Normal"/>
        <w:rPr/>
      </w:pPr>
      <w:r>
        <w:rPr/>
        <w:t>Based upon our analysis of the work performed in 2000, we estimate that we can cut routine legal fees by approximately $36,000 per month, for an annual savings of $430,000.  Although this is only a rough estimate, we believe that this savings translate into the yearly compensation for about one professional and ½ of a paralegal.  This savings, combined with a reallocation of Joe Hartsoe’s salary, more than covers the costs of hiring one new professional and two paralegals.  Furthermore, with our commitment to being more selective in those proceedings that we do participate in, we believe that the legal fees savings will be even greater than the estimated $430,000 a month we have projected.</w:t>
      </w:r>
    </w:p>
    <w:p>
      <w:pPr>
        <w:pStyle w:val="Normal"/>
        <w:rPr/>
      </w:pPr>
      <w:r>
        <w:rPr/>
      </w:r>
    </w:p>
    <w:p>
      <w:pPr>
        <w:pStyle w:val="Normal"/>
        <w:rPr/>
      </w:pPr>
      <w:r>
        <w:rPr/>
        <w:t xml:space="preserve">Savings on outside legal bills is not our only goal, however.  We also believe that, through this restructured organization, the Washington FERC team will provide more relevant information and services to the commercial units and the regional regulatory group as a whole.  By focusing our efforts more on FERC, we believe that we will provide more timely intelligence and information while also enhancing Enron’s presence before the regulators.  </w:t>
      </w:r>
    </w:p>
    <w:p>
      <w:pPr>
        <w:pStyle w:val="Normal"/>
        <w:rPr/>
      </w:pPr>
      <w:r>
        <w:rPr/>
      </w:r>
    </w:p>
    <w:p>
      <w:pPr>
        <w:pStyle w:val="Normal"/>
        <w:rPr>
          <w:b/>
          <w:bCs/>
          <w:i/>
          <w:i/>
          <w:iCs/>
        </w:rPr>
      </w:pPr>
      <w:r>
        <w:rPr>
          <w:b/>
          <w:bCs/>
          <w:i/>
          <w:iCs/>
        </w:rPr>
        <w:t>Conclusion</w:t>
      </w:r>
    </w:p>
    <w:p>
      <w:pPr>
        <w:pStyle w:val="Normal"/>
        <w:rPr/>
      </w:pPr>
      <w:r>
        <w:rPr/>
      </w:r>
    </w:p>
    <w:p>
      <w:pPr>
        <w:pStyle w:val="Normal"/>
        <w:rPr/>
      </w:pPr>
      <w:r>
        <w:rPr/>
        <w:t>This is just a broad outline of our proposed strategy.  A face-to-face meeting in the near future will be necessary so that we can work through the issues in more detail and answer any questions you may have.  The sooner we are able to restructure the Washington FERC team, the sooner will be able to begin providing new and improved services to all interested business units.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2001-05-02T08:39:00Z</dcterms:created>
  <dc:creator>snovose</dc:creator>
  <dc:description/>
  <dc:language>en-CA</dc:language>
  <cp:lastModifiedBy>snovose</cp:lastModifiedBy>
  <dcterms:modified xsi:type="dcterms:W3CDTF">2001-05-03T15:51:00Z</dcterms:modified>
  <cp:revision>4</cp:revision>
  <dc:subject/>
  <dc:title>M E M O R A N D U M</dc:title>
</cp:coreProperties>
</file>