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 E M O R A N D U M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  <w:t>Rick Shapiro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ab/>
        <w:t>Linda Robertson</w:t>
      </w:r>
    </w:p>
    <w:p>
      <w:pPr>
        <w:pStyle w:val="Normal"/>
        <w:rPr/>
      </w:pPr>
      <w:r>
        <w:rPr/>
        <w:tab/>
        <w:tab/>
        <w:t>Sarah Novosel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May 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ab/>
        <w:t>FERC Regulatory Group Restructuring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an effort to reduce costs as well as provide more services from the Washington FERC team, we have developed a strategy, as described in detail below, that is intended to meet the following goals: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enhance Enron’s presence and intelligence-gathering functions at FERC;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coordinate and formulate policy decisions with Houston;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ensure message consistency at FERC;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develop strategies for the best ways to advance Enron’s messages; and 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handle the majority of the day-to-day FERC functions, including tracking and notifying people of new proceedings at FERC, summarizing important FERC orders and meetings, and writing and filing the less complex FERC pleadings in-house.  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I.</w:t>
        <w:tab/>
        <w:t>In Deciding How Best to Reach These Goals, the Following Questions Must be Answered: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is the purpose of the FERC regulatory affairs group?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intelligence gathering and notice to Houston</w:t>
      </w:r>
    </w:p>
    <w:p>
      <w:pPr>
        <w:pStyle w:val="Normal"/>
        <w:numPr>
          <w:ilvl w:val="1"/>
          <w:numId w:val="1"/>
        </w:numPr>
        <w:rPr/>
      </w:pPr>
      <w:r>
        <w:rPr/>
        <w:t>coordinate advocacy</w:t>
      </w:r>
    </w:p>
    <w:p>
      <w:pPr>
        <w:pStyle w:val="Normal"/>
        <w:numPr>
          <w:ilvl w:val="1"/>
          <w:numId w:val="1"/>
        </w:numPr>
        <w:rPr/>
      </w:pPr>
      <w:r>
        <w:rPr/>
        <w:t>ensure consistency of message</w:t>
      </w:r>
    </w:p>
    <w:p>
      <w:pPr>
        <w:pStyle w:val="Normal"/>
        <w:numPr>
          <w:ilvl w:val="1"/>
          <w:numId w:val="1"/>
        </w:numPr>
        <w:rPr/>
      </w:pPr>
      <w:r>
        <w:rPr/>
        <w:t>formulate and coordinate policy with Houston</w:t>
      </w:r>
    </w:p>
    <w:p>
      <w:pPr>
        <w:pStyle w:val="Normal"/>
        <w:numPr>
          <w:ilvl w:val="1"/>
          <w:numId w:val="1"/>
        </w:numPr>
        <w:rPr/>
      </w:pPr>
      <w:r>
        <w:rPr/>
        <w:t>develop strategy for delivering message</w:t>
      </w:r>
    </w:p>
    <w:p>
      <w:pPr>
        <w:pStyle w:val="Normal"/>
        <w:numPr>
          <w:ilvl w:val="1"/>
          <w:numId w:val="1"/>
        </w:numPr>
        <w:rPr/>
      </w:pPr>
      <w:r>
        <w:rPr/>
        <w:t>analysis of FERC decisions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systems are currently in place in achieving the functions listed in (1) above?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RCR Process</w:t>
      </w:r>
    </w:p>
    <w:p>
      <w:pPr>
        <w:pStyle w:val="Normal"/>
        <w:numPr>
          <w:ilvl w:val="1"/>
          <w:numId w:val="1"/>
        </w:numPr>
        <w:rPr/>
      </w:pPr>
      <w:r>
        <w:rPr/>
        <w:t>Informal desk discussions</w:t>
      </w:r>
    </w:p>
    <w:p>
      <w:pPr>
        <w:pStyle w:val="Normal"/>
        <w:numPr>
          <w:ilvl w:val="1"/>
          <w:numId w:val="1"/>
        </w:numPr>
        <w:rPr/>
      </w:pPr>
      <w:r>
        <w:rPr/>
        <w:t>Weekly conference calls in the West</w:t>
      </w:r>
    </w:p>
    <w:p>
      <w:pPr>
        <w:pStyle w:val="Normal"/>
        <w:numPr>
          <w:ilvl w:val="1"/>
          <w:numId w:val="1"/>
        </w:numPr>
        <w:rPr/>
      </w:pPr>
      <w:r>
        <w:rPr/>
        <w:t>EPSA pleadings in lieu of Enron pleadings</w:t>
      </w:r>
    </w:p>
    <w:p>
      <w:pPr>
        <w:pStyle w:val="Normal"/>
        <w:numPr>
          <w:ilvl w:val="1"/>
          <w:numId w:val="1"/>
        </w:numPr>
        <w:rPr/>
      </w:pPr>
      <w:r>
        <w:rPr/>
        <w:t>Tracking progress of existing proceedings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How are Our Needs Met – What is the Criteria for Deciding Whether to File </w:t>
      </w:r>
    </w:p>
    <w:p>
      <w:pPr>
        <w:pStyle w:val="Normal"/>
        <w:numPr>
          <w:ilvl w:val="1"/>
          <w:numId w:val="1"/>
        </w:numPr>
        <w:rPr/>
      </w:pPr>
      <w:r>
        <w:rPr/>
        <w:t>What is the monetary impact on Enron – existing or potential</w:t>
      </w:r>
    </w:p>
    <w:p>
      <w:pPr>
        <w:pStyle w:val="Normal"/>
        <w:numPr>
          <w:ilvl w:val="1"/>
          <w:numId w:val="1"/>
        </w:numPr>
        <w:rPr/>
      </w:pPr>
      <w:r>
        <w:rPr/>
        <w:t>Are there national implications</w:t>
      </w:r>
    </w:p>
    <w:p>
      <w:pPr>
        <w:pStyle w:val="Normal"/>
        <w:numPr>
          <w:ilvl w:val="1"/>
          <w:numId w:val="1"/>
        </w:numPr>
        <w:rPr/>
      </w:pPr>
      <w:r>
        <w:rPr/>
        <w:t>Is our participation necessary – market leader role</w:t>
      </w:r>
    </w:p>
    <w:p>
      <w:pPr>
        <w:pStyle w:val="Normal"/>
        <w:numPr>
          <w:ilvl w:val="1"/>
          <w:numId w:val="1"/>
        </w:numPr>
        <w:rPr/>
      </w:pPr>
      <w:r>
        <w:rPr/>
        <w:t>What is our end game/goal/exit strategy</w:t>
      </w:r>
    </w:p>
    <w:p>
      <w:pPr>
        <w:pStyle w:val="Normal"/>
        <w:numPr>
          <w:ilvl w:val="1"/>
          <w:numId w:val="1"/>
        </w:numPr>
        <w:rPr/>
      </w:pPr>
      <w:r>
        <w:rPr/>
        <w:t>What is the probability of success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How Should We Interface with FERC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"/>
        </w:numPr>
        <w:rPr/>
      </w:pPr>
      <w:r>
        <w:rPr/>
        <w:t>Who Is Our Target Audience and Who Should be the Primary Enron Contacts</w:t>
      </w:r>
    </w:p>
    <w:p>
      <w:pPr>
        <w:pStyle w:val="Normal"/>
        <w:numPr>
          <w:ilvl w:val="2"/>
          <w:numId w:val="1"/>
        </w:numPr>
        <w:rPr/>
      </w:pPr>
      <w:r>
        <w:rPr/>
        <w:t xml:space="preserve">Commissioners </w:t>
      </w:r>
    </w:p>
    <w:p>
      <w:pPr>
        <w:pStyle w:val="Normal"/>
        <w:numPr>
          <w:ilvl w:val="2"/>
          <w:numId w:val="1"/>
        </w:numPr>
        <w:rPr/>
      </w:pPr>
      <w:r>
        <w:rPr/>
        <w:t>Commissioner Assistants</w:t>
      </w:r>
    </w:p>
    <w:p>
      <w:pPr>
        <w:pStyle w:val="Normal"/>
        <w:numPr>
          <w:ilvl w:val="2"/>
          <w:numId w:val="1"/>
        </w:numPr>
        <w:rPr/>
      </w:pPr>
      <w:r>
        <w:rPr/>
        <w:t>FERC Staff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What Issues Should the Washington FERC Regulatory Team Be Responsible For in Servicing ENA, and Who Is Best Suited to Be Accountable For Those Responsibilities?  We propose the following:</w:t>
      </w:r>
    </w:p>
    <w:p>
      <w:pPr>
        <w:pStyle w:val="Normal"/>
        <w:rPr/>
      </w:pPr>
      <w:r>
        <w:rPr/>
      </w:r>
    </w:p>
    <w:p>
      <w:pPr>
        <w:pStyle w:val="Normal"/>
        <w:ind w:start="1080" w:end="0"/>
        <w:rPr/>
      </w:pPr>
      <w:r>
        <w:rPr>
          <w:u w:val="single"/>
        </w:rPr>
        <w:t>Washington</w:t>
      </w:r>
      <w:r>
        <w:rPr/>
        <w:tab/>
        <w:tab/>
        <w:tab/>
        <w:tab/>
        <w:tab/>
      </w:r>
      <w:r>
        <w:rPr>
          <w:u w:val="single"/>
        </w:rPr>
        <w:t>Houston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firstLine="720" w:end="0"/>
        <w:rPr/>
      </w:pPr>
      <w:r>
        <w:rPr/>
        <w:t>Rulemakings</w:t>
        <w:tab/>
        <w:tab/>
        <w:tab/>
        <w:tab/>
        <w:tab/>
        <w:tab/>
        <w:t>RTOs</w:t>
      </w:r>
    </w:p>
    <w:p>
      <w:pPr>
        <w:pStyle w:val="Normal"/>
        <w:rPr/>
      </w:pPr>
      <w:r>
        <w:rPr/>
        <w:tab/>
        <w:t>EPSA Policy</w:t>
        <w:tab/>
        <w:tab/>
        <w:tab/>
        <w:tab/>
        <w:tab/>
        <w:tab/>
        <w:t>ISOs</w:t>
      </w:r>
    </w:p>
    <w:p>
      <w:pPr>
        <w:pStyle w:val="Normal"/>
        <w:rPr/>
      </w:pPr>
      <w:r>
        <w:rPr/>
        <w:tab/>
        <w:t>Court of Appeals Cases</w:t>
        <w:tab/>
        <w:tab/>
        <w:tab/>
        <w:tab/>
        <w:t>Grid Management</w:t>
      </w:r>
    </w:p>
    <w:p>
      <w:pPr>
        <w:pStyle w:val="Normal"/>
        <w:rPr/>
      </w:pPr>
      <w:r>
        <w:rPr/>
        <w:tab/>
        <w:t>Litigation Liaison</w:t>
        <w:tab/>
        <w:tab/>
        <w:tab/>
        <w:tab/>
        <w:tab/>
        <w:t>Desk Assistance</w:t>
      </w:r>
    </w:p>
    <w:p>
      <w:pPr>
        <w:pStyle w:val="Normal"/>
        <w:rPr/>
      </w:pPr>
      <w:r>
        <w:rPr/>
        <w:tab/>
        <w:t>FERC Monitoring</w:t>
        <w:tab/>
        <w:tab/>
        <w:tab/>
        <w:tab/>
        <w:tab/>
        <w:t>Real Time Market</w:t>
      </w:r>
    </w:p>
    <w:p>
      <w:pPr>
        <w:pStyle w:val="Normal"/>
        <w:rPr/>
      </w:pPr>
      <w:r>
        <w:rPr/>
        <w:tab/>
        <w:t>Executive Branch/DOE</w:t>
        <w:tab/>
        <w:tab/>
        <w:tab/>
        <w:tab/>
        <w:t>Credit</w:t>
      </w:r>
    </w:p>
    <w:p>
      <w:pPr>
        <w:pStyle w:val="Normal"/>
        <w:rPr/>
      </w:pPr>
      <w:r>
        <w:rPr/>
        <w:tab/>
        <w:t>Policymaking</w:t>
        <w:tab/>
        <w:tab/>
        <w:tab/>
        <w:tab/>
        <w:tab/>
        <w:tab/>
        <w:t>Commercial</w:t>
      </w:r>
    </w:p>
    <w:p>
      <w:pPr>
        <w:pStyle w:val="Normal"/>
        <w:rPr/>
      </w:pPr>
      <w:r>
        <w:rPr/>
        <w:tab/>
        <w:t>Legislative Support/Analysis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Indent2"/>
        <w:rPr/>
      </w:pPr>
      <w:r>
        <w:rPr/>
        <w:t>II.</w:t>
        <w:tab/>
        <w:t>The Washington FERC Team Should be Restructured</w:t>
      </w:r>
    </w:p>
    <w:p>
      <w:pPr>
        <w:pStyle w:val="Normal"/>
        <w:rPr/>
      </w:pPr>
      <w:r>
        <w:rPr/>
      </w:r>
    </w:p>
    <w:p>
      <w:pPr>
        <w:pStyle w:val="BodyTextIndent3"/>
        <w:ind w:hanging="720" w:start="1440" w:end="0"/>
        <w:rPr/>
      </w:pPr>
      <w:r>
        <w:rPr/>
        <w:t>A.</w:t>
        <w:tab/>
        <w:t>Washington Will Be Responsible for All Items Listed Under “Washington” in Item 5 Above</w:t>
      </w:r>
    </w:p>
    <w:p>
      <w:pPr>
        <w:pStyle w:val="BodyTextIndent3"/>
        <w:rPr/>
      </w:pPr>
      <w:r>
        <w:rPr/>
      </w:r>
    </w:p>
    <w:p>
      <w:pPr>
        <w:pStyle w:val="BodyTextIndent3"/>
        <w:ind w:firstLine="360" w:end="0"/>
        <w:rPr/>
      </w:pPr>
      <w:r>
        <w:rPr/>
        <w:t>1.</w:t>
        <w:tab/>
        <w:t>See the attached proposed flow chart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>B.</w:t>
        <w:tab/>
        <w:tab/>
        <w:t>Linda Robertson Will Have Ultimate Authority Over All FERC Activity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ab/>
        <w:tab/>
        <w:t>1.</w:t>
        <w:tab/>
        <w:t>Linda will be responsible for all FERC Commissioner contacts</w:t>
      </w:r>
    </w:p>
    <w:p>
      <w:pPr>
        <w:pStyle w:val="BodyTextIndent3"/>
        <w:rPr/>
      </w:pPr>
      <w:r>
        <w:rPr/>
      </w:r>
    </w:p>
    <w:p>
      <w:pPr>
        <w:pStyle w:val="BodyTextIndent3"/>
        <w:ind w:hanging="720" w:start="2880" w:end="0"/>
        <w:rPr/>
      </w:pPr>
      <w:r>
        <w:rPr/>
        <w:t>a.</w:t>
        <w:tab/>
        <w:t>This will include developing her own relationships as well as arranging meetings and taking Houston visitors to see FERC Commissioners</w:t>
      </w:r>
    </w:p>
    <w:p>
      <w:pPr>
        <w:pStyle w:val="BodyTextIndent3"/>
        <w:ind w:hanging="720" w:start="2880" w:end="0"/>
        <w:rPr/>
      </w:pPr>
      <w:r>
        <w:rPr/>
      </w:r>
    </w:p>
    <w:p>
      <w:pPr>
        <w:pStyle w:val="BodyTextIndent3"/>
        <w:ind w:hanging="720" w:start="2880" w:end="0"/>
        <w:rPr/>
      </w:pPr>
      <w:r>
        <w:rPr/>
        <w:t>b.</w:t>
        <w:tab/>
        <w:t>Linda will develop a plan for establishing Commissioner relationships and following up on those relationships</w:t>
      </w:r>
    </w:p>
    <w:p>
      <w:pPr>
        <w:pStyle w:val="BodyTextIndent3"/>
        <w:ind w:hanging="720" w:start="2880" w:end="0"/>
        <w:rPr/>
      </w:pPr>
      <w:r>
        <w:rPr/>
      </w:r>
    </w:p>
    <w:p>
      <w:pPr>
        <w:pStyle w:val="BodyTextIndent3"/>
        <w:ind w:hanging="720" w:start="3600" w:end="0"/>
        <w:rPr/>
      </w:pPr>
      <w:r>
        <w:rPr/>
        <w:t>i.</w:t>
        <w:tab/>
        <w:t>The primary visitors from Houston should be Steve Kean, Rick Shapiro, Jim Steffes, Jeff Skilling, Ken Lay, and the key commercial heads</w:t>
      </w:r>
    </w:p>
    <w:p>
      <w:pPr>
        <w:pStyle w:val="BodyTextIndent3"/>
        <w:ind w:hanging="720" w:start="2880" w:end="0"/>
        <w:rPr/>
      </w:pPr>
      <w:r>
        <w:rPr/>
      </w:r>
    </w:p>
    <w:p>
      <w:pPr>
        <w:pStyle w:val="BodyTextIndent3"/>
        <w:ind w:hanging="720" w:start="3600" w:end="0"/>
        <w:rPr/>
      </w:pPr>
      <w:r>
        <w:rPr/>
        <w:t>ii.</w:t>
        <w:tab/>
        <w:t>Our primary focus will be to ensure that senior Enron officials are spending an adequate amount of time developing and enhancing commissioner relationships and conveying Enron’s positions to them</w:t>
      </w:r>
    </w:p>
    <w:p>
      <w:pPr>
        <w:pStyle w:val="BodyTextIndent3"/>
        <w:ind w:hanging="0" w:start="0" w:end="0"/>
        <w:rPr/>
      </w:pPr>
      <w:r>
        <w:rPr/>
      </w:r>
    </w:p>
    <w:p>
      <w:pPr>
        <w:pStyle w:val="BodyTextIndent3"/>
        <w:ind w:hanging="0" w:start="0" w:end="0"/>
        <w:rPr/>
      </w:pPr>
      <w:r>
        <w:rPr/>
        <w:tab/>
        <w:t>C.</w:t>
        <w:tab/>
        <w:t>Sarah Novosel Will Coordinate All Day-to-Day FERC Activities</w:t>
      </w:r>
    </w:p>
    <w:p>
      <w:pPr>
        <w:pStyle w:val="BodyTextIndent3"/>
        <w:ind w:hanging="0" w:start="0" w:end="0"/>
        <w:rPr/>
      </w:pPr>
      <w:r>
        <w:rPr/>
      </w:r>
    </w:p>
    <w:p>
      <w:pPr>
        <w:pStyle w:val="BodyTextIndent3"/>
        <w:ind w:hanging="720" w:start="2160" w:end="0"/>
        <w:rPr/>
      </w:pPr>
      <w:r>
        <w:rPr/>
        <w:t>1.</w:t>
        <w:tab/>
        <w:t xml:space="preserve">Organize the Washington FERC team’s FERC relationship efforts by dividing among the FERC team responsibility for developing relationships with FERC assistants and key FERC staff </w:t>
      </w:r>
    </w:p>
    <w:p>
      <w:pPr>
        <w:pStyle w:val="BodyTextIndent3"/>
        <w:ind w:hanging="720" w:start="2160" w:end="0"/>
        <w:rPr/>
      </w:pPr>
      <w:r>
        <w:rPr/>
      </w:r>
    </w:p>
    <w:p>
      <w:pPr>
        <w:pStyle w:val="BodyTextIndent3"/>
        <w:ind w:hanging="720" w:start="2880" w:end="0"/>
        <w:rPr/>
      </w:pPr>
      <w:r>
        <w:rPr/>
        <w:t>a.</w:t>
        <w:tab/>
        <w:t>Work with Washington FERC regional people and set goals for establishing FERC contacts and getting lower level Enron people in to visit/educate FERC Staff</w:t>
      </w:r>
    </w:p>
    <w:p>
      <w:pPr>
        <w:pStyle w:val="BodyTextIndent3"/>
        <w:ind w:hanging="0" w:start="0" w:end="0"/>
        <w:rPr/>
      </w:pPr>
      <w:r>
        <w:rPr/>
      </w:r>
    </w:p>
    <w:p>
      <w:pPr>
        <w:pStyle w:val="BodyTextIndent3"/>
        <w:ind w:hanging="720" w:start="2160" w:end="0"/>
        <w:rPr/>
      </w:pPr>
      <w:r>
        <w:rPr/>
        <w:t>2.</w:t>
        <w:tab/>
        <w:t>Ensure that FERC intelligence is being gathered and disseminated to Houston by overseeing:</w:t>
      </w:r>
    </w:p>
    <w:p>
      <w:pPr>
        <w:pStyle w:val="BodyTextIndent3"/>
        <w:ind w:hanging="0" w:start="0" w:end="0"/>
        <w:rPr/>
      </w:pPr>
      <w:r>
        <w:rPr/>
        <w:tab/>
      </w:r>
    </w:p>
    <w:p>
      <w:pPr>
        <w:pStyle w:val="BodyTextIndent3"/>
        <w:ind w:hanging="720" w:start="2880" w:end="0"/>
        <w:rPr/>
      </w:pPr>
      <w:r>
        <w:rPr/>
        <w:t>a.</w:t>
        <w:tab/>
        <w:t>FERC regional people knowing what filings are being made in their regions and convey this information in a systematic way to key commercial people</w:t>
      </w:r>
    </w:p>
    <w:p>
      <w:pPr>
        <w:pStyle w:val="BodyTextIndent3"/>
        <w:ind w:hanging="720" w:start="2880" w:end="0"/>
        <w:rPr/>
      </w:pPr>
      <w:r>
        <w:rPr/>
        <w:t>b.</w:t>
        <w:tab/>
        <w:t>Intelligence is gathered in all ways permissible including close coordination with EPSA, other market participants, and key FERC staff</w:t>
      </w:r>
    </w:p>
    <w:p>
      <w:pPr>
        <w:pStyle w:val="BodyTextIndent3"/>
        <w:rPr/>
      </w:pPr>
      <w:r>
        <w:rPr/>
      </w:r>
    </w:p>
    <w:p>
      <w:pPr>
        <w:pStyle w:val="BodyTextIndent3"/>
        <w:ind w:hanging="720" w:start="2160" w:end="0"/>
        <w:rPr/>
      </w:pPr>
      <w:r>
        <w:rPr/>
        <w:t>3.</w:t>
        <w:tab/>
        <w:t>Work with FERC team by applying the criteria (listed above) for deciding whether to file in a particular proceeding</w:t>
      </w:r>
    </w:p>
    <w:p>
      <w:pPr>
        <w:pStyle w:val="BodyTextIndent3"/>
        <w:rPr/>
      </w:pPr>
      <w:r>
        <w:rPr/>
      </w:r>
    </w:p>
    <w:p>
      <w:pPr>
        <w:pStyle w:val="BodyTextIndent3"/>
        <w:ind w:hanging="720" w:start="2160" w:end="0"/>
        <w:rPr/>
      </w:pPr>
      <w:r>
        <w:rPr/>
        <w:t>4.</w:t>
        <w:tab/>
        <w:t>Coordinate policy development with Houston and ensure that FERC regional people know Enron’s policies and advocate those policies in a consistent, effective manger</w:t>
      </w:r>
    </w:p>
    <w:p>
      <w:pPr>
        <w:pStyle w:val="BodyTextIndent3"/>
        <w:rPr/>
      </w:pPr>
      <w:r>
        <w:rPr/>
      </w:r>
    </w:p>
    <w:p>
      <w:pPr>
        <w:pStyle w:val="BodyTextIndent3"/>
        <w:ind w:hanging="720" w:start="2160" w:end="0"/>
        <w:rPr/>
      </w:pPr>
      <w:r>
        <w:rPr/>
        <w:t>5.</w:t>
        <w:tab/>
        <w:t xml:space="preserve">Work with Enron people in the regions to produce as much written material in-house as possible in order to lower outside legal costs </w:t>
      </w:r>
    </w:p>
    <w:p>
      <w:pPr>
        <w:pStyle w:val="BodyTextIndent3"/>
        <w:ind w:hanging="720" w:start="2160" w:end="0"/>
        <w:rPr/>
      </w:pPr>
      <w:r>
        <w:rPr/>
      </w:r>
    </w:p>
    <w:p>
      <w:pPr>
        <w:pStyle w:val="BodyTextIndent3"/>
        <w:ind w:hanging="0" w:start="2160" w:end="0"/>
        <w:rPr/>
      </w:pPr>
      <w:r>
        <w:rPr/>
        <w:t>a.</w:t>
        <w:tab/>
        <w:t>See attached chart showing:</w:t>
      </w:r>
    </w:p>
    <w:p>
      <w:pPr>
        <w:pStyle w:val="BodyTextIndent3"/>
        <w:ind w:hanging="720" w:start="2160" w:end="0"/>
        <w:rPr/>
      </w:pPr>
      <w:r>
        <w:rPr/>
      </w:r>
    </w:p>
    <w:p>
      <w:pPr>
        <w:pStyle w:val="BodyTextIndent3"/>
        <w:ind w:hanging="0" w:start="2880" w:end="0"/>
        <w:rPr/>
      </w:pPr>
      <w:r>
        <w:rPr/>
        <w:t>i.</w:t>
        <w:tab/>
        <w:t>Legal fees for the last three years</w:t>
      </w:r>
    </w:p>
    <w:p>
      <w:pPr>
        <w:pStyle w:val="BodyTextIndent3"/>
        <w:ind w:hanging="720" w:start="3600" w:end="0"/>
        <w:rPr/>
      </w:pPr>
      <w:r>
        <w:rPr/>
        <w:t>ii.</w:t>
        <w:tab/>
        <w:t>Detailed Description of legal work performed in Year 2000</w:t>
      </w:r>
    </w:p>
    <w:p>
      <w:pPr>
        <w:pStyle w:val="BodyTextIndent3"/>
        <w:ind w:hanging="720" w:start="3600" w:end="0"/>
        <w:rPr/>
      </w:pPr>
      <w:r>
        <w:rPr/>
        <w:t>iii.</w:t>
        <w:tab/>
        <w:t>Estimate of the work we can bring in-house and the resulting cost savings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ab/>
        <w:tab/>
        <w:tab/>
        <w:t>b.</w:t>
        <w:tab/>
        <w:t>Our goal will be to produce the following work in-house</w:t>
      </w:r>
    </w:p>
    <w:p>
      <w:pPr>
        <w:pStyle w:val="BodyTextIndent3"/>
        <w:rPr/>
      </w:pPr>
      <w:r>
        <w:rPr/>
      </w:r>
    </w:p>
    <w:p>
      <w:pPr>
        <w:pStyle w:val="BodyTextIndent3"/>
        <w:ind w:hanging="720" w:start="3600" w:end="0"/>
        <w:rPr/>
      </w:pPr>
      <w:r>
        <w:rPr/>
        <w:t>i.</w:t>
        <w:tab/>
        <w:t>Motions to intervene, comments in support, minor protests</w:t>
      </w:r>
    </w:p>
    <w:p>
      <w:pPr>
        <w:pStyle w:val="BodyTextIndent3"/>
        <w:ind w:hanging="720" w:start="3600" w:end="0"/>
        <w:rPr/>
      </w:pPr>
      <w:r>
        <w:rPr/>
        <w:t>ii.</w:t>
        <w:tab/>
        <w:t>Summaries of filings and notices of new filings (currently performed by Jan Butler – pipelines)</w:t>
      </w:r>
    </w:p>
    <w:p>
      <w:pPr>
        <w:pStyle w:val="BodyTextIndent3"/>
        <w:ind w:hanging="720" w:start="3600" w:end="0"/>
        <w:rPr/>
      </w:pPr>
      <w:r>
        <w:rPr/>
        <w:t>iii.</w:t>
        <w:tab/>
        <w:t>Summaries of key FERC orders and FERC meetings</w:t>
      </w:r>
    </w:p>
    <w:p>
      <w:pPr>
        <w:pStyle w:val="BodyTextIndent3"/>
        <w:ind w:hanging="720" w:start="3600" w:end="0"/>
        <w:rPr/>
      </w:pPr>
      <w:r>
        <w:rPr/>
        <w:t>iv.</w:t>
        <w:tab/>
        <w:t>Summaries of pleadings submitted by other parties in those cases of interest to Enron Corp</w:t>
      </w:r>
    </w:p>
    <w:p>
      <w:pPr>
        <w:pStyle w:val="BodyTextIndent3"/>
        <w:rPr/>
      </w:pPr>
      <w:r>
        <w:rPr/>
      </w:r>
    </w:p>
    <w:p>
      <w:pPr>
        <w:pStyle w:val="BodyTextIndent3"/>
        <w:ind w:hanging="720" w:start="2160" w:end="0"/>
        <w:rPr/>
      </w:pPr>
      <w:r>
        <w:rPr/>
        <w:t>6.</w:t>
        <w:tab/>
        <w:t>Implement an internal tracking and reassessment system whereby FERC regional heads track ongoing proceedings and periodic review is conducted to determine whether Enron’s original goals are still being pursued</w:t>
      </w:r>
    </w:p>
    <w:p>
      <w:pPr>
        <w:pStyle w:val="BodyTextIndent3"/>
        <w:ind w:hanging="0" w:start="0" w:end="0"/>
        <w:rPr/>
      </w:pPr>
      <w:r>
        <w:rPr/>
      </w:r>
    </w:p>
    <w:p>
      <w:pPr>
        <w:pStyle w:val="BodyTextIndent3"/>
        <w:ind w:hanging="0" w:start="0" w:end="0"/>
        <w:rPr>
          <w:b/>
          <w:bCs/>
        </w:rPr>
      </w:pPr>
      <w:r>
        <w:rPr>
          <w:b/>
          <w:bCs/>
        </w:rPr>
        <w:t>III.</w:t>
        <w:tab/>
        <w:t>Necessary Actions to Attain Our Goals</w:t>
      </w:r>
    </w:p>
    <w:p>
      <w:pPr>
        <w:pStyle w:val="BodyTextIndent3"/>
        <w:ind w:hanging="0" w:start="0" w:end="0"/>
        <w:rPr/>
      </w:pPr>
      <w:r>
        <w:rPr/>
      </w:r>
    </w:p>
    <w:p>
      <w:pPr>
        <w:pStyle w:val="BodyTextIndent3"/>
        <w:ind w:firstLine="720" w:start="0" w:end="0"/>
        <w:rPr/>
      </w:pPr>
      <w:r>
        <w:rPr/>
        <w:t>A.</w:t>
        <w:tab/>
        <w:t>New Hires</w:t>
      </w:r>
    </w:p>
    <w:p>
      <w:pPr>
        <w:pStyle w:val="BodyTextIndent3"/>
        <w:ind w:firstLine="720" w:start="0" w:end="0"/>
        <w:rPr/>
      </w:pPr>
      <w:r>
        <w:rPr/>
      </w:r>
    </w:p>
    <w:p>
      <w:pPr>
        <w:pStyle w:val="BodyTextIndent3"/>
        <w:ind w:hanging="720" w:start="2160" w:end="0"/>
        <w:rPr/>
      </w:pPr>
      <w:r>
        <w:rPr/>
        <w:t>1.</w:t>
        <w:tab/>
        <w:t>We propose that we hire one new full-time professional to lead the FERC effort in the Northeast</w:t>
      </w:r>
    </w:p>
    <w:p>
      <w:pPr>
        <w:pStyle w:val="BodyTextIndent3"/>
        <w:ind w:firstLine="720" w:start="0" w:end="0"/>
        <w:rPr/>
      </w:pPr>
      <w:r>
        <w:rPr/>
        <w:tab/>
      </w:r>
    </w:p>
    <w:p>
      <w:pPr>
        <w:pStyle w:val="BodyTextIndent3"/>
        <w:ind w:hanging="720" w:start="2880" w:end="0"/>
        <w:rPr/>
      </w:pPr>
      <w:r>
        <w:rPr/>
        <w:t>a.</w:t>
        <w:tab/>
        <w:t>This person may not be a net new hire since Joe left the group recently</w:t>
      </w:r>
    </w:p>
    <w:p>
      <w:pPr>
        <w:pStyle w:val="BodyTextIndent3"/>
        <w:ind w:hanging="720" w:start="2880" w:end="0"/>
        <w:rPr/>
      </w:pPr>
      <w:r>
        <w:rPr/>
      </w:r>
    </w:p>
    <w:p>
      <w:pPr>
        <w:pStyle w:val="BodyTextIndent3"/>
        <w:ind w:hanging="720" w:start="2880" w:end="0"/>
        <w:rPr/>
      </w:pPr>
      <w:r>
        <w:rPr/>
        <w:t>b.</w:t>
        <w:tab/>
        <w:t>We would like to find someone with 5-7 years of experience coming out of FERC in order to have a FERC contact base already established</w:t>
      </w:r>
    </w:p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  <w:tab/>
        <w:tab/>
        <w:t>2.</w:t>
        <w:tab/>
        <w:t>We also propose to hire two paralegals</w:t>
      </w:r>
    </w:p>
    <w:p>
      <w:pPr>
        <w:pStyle w:val="BodyTextIndent3"/>
        <w:rPr/>
      </w:pPr>
      <w:r>
        <w:rPr/>
      </w:r>
    </w:p>
    <w:p>
      <w:pPr>
        <w:pStyle w:val="BodyTextIndent3"/>
        <w:ind w:hanging="720" w:start="2880" w:end="0"/>
        <w:rPr/>
      </w:pPr>
      <w:r>
        <w:rPr/>
        <w:t>a.</w:t>
        <w:tab/>
        <w:t>As shown on the attached chart, we are spending on average $_________ on paralegal support from Bracewell</w:t>
      </w:r>
    </w:p>
    <w:p>
      <w:pPr>
        <w:pStyle w:val="BodyTextIndent3"/>
        <w:ind w:hanging="720" w:start="2880" w:end="0"/>
        <w:rPr/>
      </w:pPr>
      <w:r>
        <w:rPr/>
      </w:r>
    </w:p>
    <w:p>
      <w:pPr>
        <w:pStyle w:val="BodyTextIndent3"/>
        <w:ind w:hanging="720" w:start="3600" w:end="0"/>
        <w:rPr/>
      </w:pPr>
      <w:r>
        <w:rPr/>
        <w:t>i.</w:t>
        <w:tab/>
        <w:t>We believe we can reduce those costs by ______ by having our own paralegal perform that work</w:t>
      </w:r>
    </w:p>
    <w:p>
      <w:pPr>
        <w:pStyle w:val="BodyTextIndent3"/>
        <w:ind w:hanging="720" w:start="2880" w:end="0"/>
        <w:rPr/>
      </w:pPr>
      <w:r>
        <w:rPr/>
      </w:r>
    </w:p>
    <w:p>
      <w:pPr>
        <w:pStyle w:val="BodyTextIndent3"/>
        <w:ind w:hanging="720" w:start="2880" w:end="0"/>
        <w:rPr/>
      </w:pPr>
      <w:r>
        <w:rPr/>
        <w:t>b.</w:t>
        <w:tab/>
        <w:t>Additionally, we are paying the pipeline group $4,000 a month for the weekly electric report</w:t>
      </w:r>
    </w:p>
    <w:p>
      <w:pPr>
        <w:pStyle w:val="BodyTextIndent3"/>
        <w:ind w:hanging="720" w:start="2880" w:end="0"/>
        <w:rPr/>
      </w:pPr>
      <w:r>
        <w:rPr/>
      </w:r>
    </w:p>
    <w:p>
      <w:pPr>
        <w:pStyle w:val="BodyTextIndent3"/>
        <w:ind w:hanging="720" w:start="3600" w:end="0"/>
        <w:rPr/>
      </w:pPr>
      <w:r>
        <w:rPr/>
        <w:t>i.</w:t>
        <w:tab/>
        <w:t>By bringing this work in-house, a paralegal should be able to produce this document in approximately 20 hours, leaving an additional 20 hours of time available to assist the regulatory team</w:t>
      </w:r>
    </w:p>
    <w:p>
      <w:pPr>
        <w:pStyle w:val="BodyTextIndent3"/>
        <w:ind w:hanging="720" w:start="2880" w:end="0"/>
        <w:rPr/>
      </w:pPr>
      <w:r>
        <w:rPr/>
      </w:r>
    </w:p>
    <w:p>
      <w:pPr>
        <w:pStyle w:val="BodyTextIndent3"/>
        <w:ind w:hanging="720" w:start="288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360" w:start="360" w:end="0"/>
    </w:pPr>
    <w:rPr>
      <w:b/>
      <w:bCs/>
    </w:rPr>
  </w:style>
  <w:style w:type="paragraph" w:styleId="BodyTextIndent2">
    <w:name w:val="Body Text Indent 2"/>
    <w:basedOn w:val="Normal"/>
    <w:qFormat/>
    <w:pPr>
      <w:ind w:hanging="720" w:start="720" w:end="0"/>
    </w:pPr>
    <w:rPr>
      <w:b/>
      <w:bCs/>
    </w:rPr>
  </w:style>
  <w:style w:type="paragraph" w:styleId="BodyTextIndent3">
    <w:name w:val="Body Text Indent 3"/>
    <w:basedOn w:val="Normal"/>
    <w:qFormat/>
    <w:pPr>
      <w:ind w:hanging="360" w:start="108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2001-05-01T12:01:00Z</dcterms:created>
  <dc:creator>snovose</dc:creator>
  <dc:description/>
  <dc:language>en-CA</dc:language>
  <cp:lastModifiedBy>snovose</cp:lastModifiedBy>
  <dcterms:modified xsi:type="dcterms:W3CDTF">2001-05-03T16:03:00Z</dcterms:modified>
  <cp:revision>6</cp:revision>
  <dc:subject/>
  <dc:title>M E M O R A N D U M</dc:title>
</cp:coreProperties>
</file>