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lang w:val="en-CA"/>
        </w:rPr>
      </w:pPr>
      <w:r>
        <w:rPr>
          <w:sz w:val="20"/>
          <w:lang w:val="en-CA"/>
        </w:rPr>
      </w:r>
    </w:p>
    <w:tbl>
      <w:tblPr>
        <w:tblW w:w="9450" w:type="dxa"/>
        <w:jc w:val="start"/>
        <w:tblInd w:w="18" w:type="dxa"/>
        <w:tblLayout w:type="fixed"/>
        <w:tblCellMar>
          <w:top w:w="0" w:type="dxa"/>
          <w:start w:w="108" w:type="dxa"/>
          <w:bottom w:w="0" w:type="dxa"/>
          <w:end w:w="108" w:type="dxa"/>
        </w:tblCellMar>
      </w:tblPr>
      <w:tblGrid>
        <w:gridCol w:w="9450"/>
      </w:tblGrid>
      <w:tr>
        <w:trPr/>
        <w:tc>
          <w:tcPr>
            <w:tcW w:w="9450" w:type="dxa"/>
            <w:tcBorders>
              <w:bottom w:val="single" w:sz="4" w:space="0" w:color="000000"/>
            </w:tcBorders>
          </w:tcPr>
          <w:p>
            <w:pPr>
              <w:pStyle w:val="Date"/>
              <w:spacing w:before="480" w:after="0"/>
              <w:jc w:val="center"/>
              <w:rPr/>
            </w:pPr>
            <w:r>
              <w:rPr/>
              <w:t>M E M O R A N D U M</w:t>
            </w:r>
          </w:p>
          <w:p>
            <w:pPr>
              <w:pStyle w:val="Normal"/>
              <w:rPr/>
            </w:pPr>
            <w:r>
              <w:rPr/>
            </w:r>
          </w:p>
          <w:p>
            <w:pPr>
              <w:pStyle w:val="DelivStyle"/>
              <w:rPr/>
            </w:pPr>
            <w:r>
              <w:rPr>
                <w:b/>
              </w:rPr>
              <w:t>To:</w:t>
            </w:r>
            <w:r>
              <w:rPr/>
              <w:tab/>
              <w:t>Ken Raber</w:t>
            </w:r>
          </w:p>
          <w:p>
            <w:pPr>
              <w:pStyle w:val="Normal"/>
              <w:rPr>
                <w:sz w:val="22"/>
              </w:rPr>
            </w:pPr>
            <w:r>
              <w:rPr>
                <w:sz w:val="22"/>
              </w:rPr>
            </w:r>
          </w:p>
          <w:p>
            <w:pPr>
              <w:pStyle w:val="DelivStyle"/>
              <w:rPr/>
            </w:pPr>
            <w:r>
              <w:rPr>
                <w:b/>
              </w:rPr>
              <w:t>From:</w:t>
            </w:r>
            <w:r>
              <w:rPr/>
              <w:tab/>
              <w:t>Michael S. Colo</w:t>
            </w:r>
          </w:p>
          <w:p>
            <w:pPr>
              <w:pStyle w:val="Normal"/>
              <w:rPr/>
            </w:pPr>
            <w:r>
              <w:rPr/>
            </w:r>
          </w:p>
          <w:p>
            <w:pPr>
              <w:pStyle w:val="DelivStyle"/>
              <w:rPr/>
            </w:pPr>
            <w:r>
              <w:rPr>
                <w:b/>
              </w:rPr>
              <w:t>Date:</w:t>
            </w:r>
            <w:r>
              <w:rPr/>
              <w:tab/>
              <w:t>July 12, 2000</w:t>
            </w:r>
          </w:p>
          <w:p>
            <w:pPr>
              <w:pStyle w:val="Normal"/>
              <w:rPr>
                <w:sz w:val="22"/>
              </w:rPr>
            </w:pPr>
            <w:r>
              <w:rPr>
                <w:sz w:val="22"/>
              </w:rPr>
            </w:r>
          </w:p>
          <w:p>
            <w:pPr>
              <w:pStyle w:val="DelivStyle"/>
              <w:rPr/>
            </w:pPr>
            <w:r>
              <w:rPr>
                <w:rStyle w:val="ReLine"/>
                <w:b/>
              </w:rPr>
              <w:t>Re:</w:t>
            </w:r>
            <w:r>
              <w:rPr>
                <w:rStyle w:val="ReLine"/>
              </w:rPr>
              <w:tab/>
              <w:t>ENRON Option To Purchase Real Estate</w:t>
            </w:r>
          </w:p>
          <w:p>
            <w:pPr>
              <w:pStyle w:val="FirmInfo"/>
              <w:rPr>
                <w:rStyle w:val="ReLine"/>
              </w:rPr>
            </w:pPr>
            <w:r>
              <w:rPr/>
            </w:r>
          </w:p>
        </w:tc>
      </w:tr>
    </w:tbl>
    <w:p>
      <w:pPr>
        <w:pStyle w:val="Salutation"/>
        <w:rPr/>
      </w:pPr>
      <w:r>
        <w:rPr/>
      </w:r>
    </w:p>
    <w:p>
      <w:pPr>
        <w:pStyle w:val="Normal"/>
        <w:rPr/>
      </w:pPr>
      <w:r>
        <w:rPr/>
      </w:r>
    </w:p>
    <w:p>
      <w:pPr>
        <w:pStyle w:val="BodyPS"/>
        <w:rPr/>
      </w:pPr>
      <w:r>
        <w:rPr/>
        <w:t>At your request, I have reviewed the draft of the captioned document.  My comments are as follows:</w:t>
      </w:r>
    </w:p>
    <w:p>
      <w:pPr>
        <w:pStyle w:val="BodyPS"/>
        <w:rPr/>
      </w:pPr>
      <w:r>
        <w:rPr/>
        <w:t>1.  Paragraph 3 – NCEMPA will not pay the cost of a title insurance policy for the Buyer.  Traditionally that cost is the obligation of the buyer of property.  In addition, the sentence about rescission of the option in the event NCEMPA cannot cure title defects is not appropriate.  If a title defect cannot be cured, the Buyer simply need not exercise the option to close.  The option money, however, should remain with NCEMPA.  The option money is the cost to look at the property.  Closing should be in Raleigh, or at some other mutually agreeable location, such as Rocky Mount, where the property is located.</w:t>
      </w:r>
    </w:p>
    <w:p>
      <w:pPr>
        <w:pStyle w:val="BodyPS"/>
        <w:rPr/>
      </w:pPr>
      <w:r>
        <w:rPr/>
        <w:t>2.  Paragraph 4 – Since NCEMPA does not own any adjoining property, this paragraph should be deleted.</w:t>
      </w:r>
    </w:p>
    <w:p>
      <w:pPr>
        <w:pStyle w:val="BodyPS"/>
        <w:rPr/>
      </w:pPr>
      <w:r>
        <w:rPr/>
        <w:t>3.  Paragraph 5 – The option money should not be returned to the Buyer in the event of damage to the property.  See Number 1 above.</w:t>
      </w:r>
    </w:p>
    <w:p>
      <w:pPr>
        <w:pStyle w:val="BodyPS"/>
        <w:rPr/>
      </w:pPr>
      <w:r>
        <w:rPr/>
        <w:t>4.  Paragraph 9 – The caption should be changed to “Termination and Renewal”.</w:t>
      </w:r>
    </w:p>
    <w:p>
      <w:pPr>
        <w:pStyle w:val="BodyPS"/>
        <w:rPr/>
      </w:pPr>
      <w:r>
        <w:rPr/>
        <w:t xml:space="preserve">5.  Paragraph 10 – On the penultimate line, insert a semicolon after the word “hereunder”, strike the “and”, insert “provided, however, that” after the semicolon, and insert “not between shall” and “be”. </w:t>
      </w:r>
    </w:p>
    <w:p>
      <w:pPr>
        <w:pStyle w:val="BodyPS"/>
        <w:rPr/>
      </w:pPr>
      <w:r>
        <w:rPr/>
        <w:t>6. Paragraph 14 --  Delete the reference to the “Clerk” and insert, in lieu thereof,  “Register of Deeds”.</w:t>
      </w:r>
    </w:p>
    <w:p>
      <w:pPr>
        <w:pStyle w:val="BodyPS"/>
        <w:rPr/>
      </w:pPr>
      <w:r>
        <w:rPr/>
        <w:t>7.  Paragraph 15 (c) – After the word “Optionor” on the second line, insert “relating to the ownership, use , operation or leasing of the Property”.  Insert the same language in the eighth line after “proceedings”, striking the redundant “relating to”.  On the seventh line from the bottom insert “ownership,” before “use”.  On the third line from the bottom and at the end of the paragraph, add “affecting or potentially affecting the Property”.</w:t>
      </w:r>
    </w:p>
    <w:p>
      <w:pPr>
        <w:pStyle w:val="BodyPS"/>
        <w:rPr/>
      </w:pPr>
      <w:r>
        <w:rPr/>
        <w:t>8.   Paragraph 15(d) – Strike the paragraph in its entirety.</w:t>
      </w:r>
    </w:p>
    <w:p>
      <w:pPr>
        <w:pStyle w:val="BodyPS"/>
        <w:rPr/>
      </w:pPr>
      <w:r>
        <w:rPr/>
        <w:t xml:space="preserve">9.   Paragraph 15(g) – Strike the paragraph in its entirety. </w:t>
      </w:r>
    </w:p>
    <w:p>
      <w:pPr>
        <w:pStyle w:val="BodyPS"/>
        <w:rPr/>
      </w:pPr>
      <w:r>
        <w:rPr/>
        <w:t xml:space="preserve">10.  Paragraph 16 – Strike the paragraph in its entirety.  The idea of conditions precedent to closing in not consistent with an option; rather, it is consistent with a contract to purchase.   What is consistent with an option is that the Buyer does not exercise the option until it is satisfied with the completion of its required conditions precedent.  </w:t>
      </w:r>
    </w:p>
    <w:p>
      <w:pPr>
        <w:pStyle w:val="BodyPS"/>
        <w:rPr/>
      </w:pPr>
      <w:r>
        <w:rPr/>
        <w:t>11. Paragraph 17 – Change the “and” immediately preceding the (ii) to an “or”.</w:t>
      </w:r>
    </w:p>
    <w:p>
      <w:pPr>
        <w:pStyle w:val="BodyPS"/>
        <w:rPr/>
      </w:pPr>
      <w:r>
        <w:rPr/>
        <w:t>12.  Paragraph 18 – Strike the paragraph in its entirety.</w:t>
      </w:r>
    </w:p>
    <w:p>
      <w:pPr>
        <w:pStyle w:val="BodyPS"/>
        <w:rPr/>
      </w:pPr>
      <w:r>
        <w:rPr/>
        <w:t>13.  Paragraph 21 – Strike the paragraph and move the substance to Paragraph 16; it is a representation of the owner.</w:t>
      </w:r>
    </w:p>
    <w:p>
      <w:pPr>
        <w:pStyle w:val="BodyPS"/>
        <w:rPr/>
      </w:pPr>
      <w:r>
        <w:rPr/>
        <w:t>14.  Paragraph 24 – Strike the paragraph in its entirety.</w:t>
      </w:r>
    </w:p>
    <w:p>
      <w:pPr>
        <w:pStyle w:val="BodyPS"/>
        <w:rPr/>
      </w:pPr>
      <w:r>
        <w:rPr/>
        <w:t>15.  Paragraph 25 – Strike the penultimate sentence.</w:t>
      </w:r>
    </w:p>
    <w:p>
      <w:pPr>
        <w:pStyle w:val="BodyPS"/>
        <w:rPr/>
      </w:pPr>
      <w:r>
        <w:rPr/>
        <w:t>16.  Paragraph 26 – The proviso should be applicable to the Optionor as well as the Optionee.</w:t>
      </w:r>
    </w:p>
    <w:p>
      <w:pPr>
        <w:pStyle w:val="Normal"/>
        <w:rPr/>
      </w:pPr>
      <w:r>
        <w:rPr/>
        <w:tab/>
        <w:t>Please give me a call if you want to discuss any of the foregoing.  In addition,  feel free to share the foregoing comments with your contacts at ENRON and to suggest that ENRON’s attorney may feel free to call me directly (252.972.7105) to discuss any of the foregoing.</w:t>
      </w:r>
    </w:p>
    <w:p>
      <w:pPr>
        <w:pStyle w:val="Normal"/>
        <w:rPr>
          <w:lang w:val="en-CA"/>
        </w:rPr>
      </w:pPr>
      <w:r>
        <w:rPr>
          <w:lang w:val="en-CA"/>
        </w:rPr>
      </w:r>
      <w:r>
        <mc:AlternateContent>
          <mc:Choice Requires="wps">
            <w:drawing>
              <wp:anchor behindDoc="0" distT="0" distB="0" distL="114935" distR="114935" simplePos="0" locked="0" layoutInCell="0" allowOverlap="1" relativeHeight="3">
                <wp:simplePos x="0" y="0"/>
                <wp:positionH relativeFrom="page">
                  <wp:posOffset>914400</wp:posOffset>
                </wp:positionH>
                <wp:positionV relativeFrom="page">
                  <wp:posOffset>9235440</wp:posOffset>
                </wp:positionV>
                <wp:extent cx="5943600" cy="274320"/>
                <wp:effectExtent l="0" t="0" r="0" b="0"/>
                <wp:wrapTight wrapText="bothSides">
                  <wp:wrapPolygon edited="0">
                    <wp:start x="0" y="0"/>
                    <wp:lineTo x="21600" y="0"/>
                    <wp:lineTo x="21600" y="21600"/>
                    <wp:lineTo x="0" y="21600"/>
                    <wp:lineTo x="0" y="0"/>
                  </wp:wrapPolygon>
                </wp:wrapTight>
                <wp:docPr id="1" name="Frame1"/>
                <a:graphic xmlns:a="http://schemas.openxmlformats.org/drawingml/2006/main">
                  <a:graphicData uri="http://schemas.microsoft.com/office/word/2010/wordprocessingShape">
                    <wps:wsp>
                      <wps:cNvSpPr txBox="1"/>
                      <wps:spPr>
                        <a:xfrm>
                          <a:off x="0" y="0"/>
                          <a:ext cx="5943600" cy="274320"/>
                        </a:xfrm>
                        <a:prstGeom prst="rect"/>
                        <a:solidFill>
                          <a:srgbClr val="FFFFFF">
                            <a:alpha val="0"/>
                          </a:srgbClr>
                        </a:solidFill>
                      </wps:spPr>
                      <wps:txbx>
                        <w:txbxContent>
                          <w:p>
                            <w:pPr>
                              <w:pStyle w:val="Normal"/>
                              <w:rPr>
                                <w:sz w:val="14"/>
                              </w:rPr>
                            </w:pPr>
                            <w:r>
                              <w:rPr>
                                <w:sz w:val="14"/>
                              </w:rPr>
                              <w:t>ROCKYMOUNT/140129-347/225279 v.1</w:t>
                            </w:r>
                          </w:p>
                        </w:txbxContent>
                      </wps:txbx>
                      <wps:bodyPr anchor="t" lIns="635" tIns="635" rIns="635" bIns="635">
                        <a:noAutofit/>
                      </wps:bodyPr>
                    </wps:wsp>
                  </a:graphicData>
                </a:graphic>
              </wp:anchor>
            </w:drawing>
          </mc:Choice>
          <mc:Fallback>
            <w:pict>
              <v:rect fillcolor="#FFFFFF" style="position:absolute;rotation:-0;width:468pt;height:21.6pt;mso-wrap-distance-left:9.05pt;mso-wrap-distance-right:9.05pt;mso-wrap-distance-top:0pt;mso-wrap-distance-bottom:0pt;margin-top:727.2pt;mso-position-vertical-relative:page;margin-left:72pt;mso-position-horizontal-relative:page">
                <v:fill opacity="0f"/>
                <v:textbox inset="0.000694444444444445in,0.000694444444444445in,0.000694444444444445in,0.000694444444444445in">
                  <w:txbxContent>
                    <w:p>
                      <w:pPr>
                        <w:pStyle w:val="Normal"/>
                        <w:rPr>
                          <w:sz w:val="14"/>
                        </w:rPr>
                      </w:pPr>
                      <w:r>
                        <w:rPr>
                          <w:sz w:val="14"/>
                        </w:rPr>
                        <w:t>ROCKYMOUNT/140129-347/225279 v.1</w:t>
                      </w:r>
                    </w:p>
                  </w:txbxContent>
                </v:textbox>
                <w10:wrap type="square"/>
              </v:rect>
            </w:pict>
          </mc:Fallback>
        </mc:AlternateContent>
      </w:r>
    </w:p>
    <w:sectPr>
      <w:headerReference w:type="default" r:id="rId2"/>
      <w:headerReference w:type="first" r:id="rId3"/>
      <w:footerReference w:type="default" r:id="rId4"/>
      <w:footerReference w:type="first" r:id="rId5"/>
      <w:type w:val="nextPage"/>
      <w:pgSz w:w="12240" w:h="15840"/>
      <w:pgMar w:left="1440" w:right="1440" w:gutter="0" w:header="1008" w:top="1440"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urasia">
    <w:charset w:val="00" w:characterSet="windows-1252"/>
    <w:family w:val="auto"/>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jc w:val="end"/>
      <w:rPr>
        <w:rStyle w:val="PageNumb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irmInfo"/>
      <w:ind w:end="-108"/>
      <w:jc w:val="end"/>
      <w:rPr/>
    </w:pPr>
    <w:r>
      <w:rPr/>
    </w:r>
  </w:p>
  <w:p>
    <w:pPr>
      <w:pStyle w:val="FirmInfo"/>
      <w:ind w:end="-108"/>
      <w:jc w:val="end"/>
      <w:rPr/>
    </w:pPr>
    <w:r>
      <w:rPr/>
    </w:r>
  </w:p>
  <w:tbl>
    <w:tblPr>
      <w:tblW w:w="10201" w:type="dxa"/>
      <w:jc w:val="center"/>
      <w:tblInd w:w="0" w:type="dxa"/>
      <w:tblLayout w:type="fixed"/>
      <w:tblCellMar>
        <w:top w:w="0" w:type="dxa"/>
        <w:start w:w="108" w:type="dxa"/>
        <w:bottom w:w="0" w:type="dxa"/>
        <w:end w:w="108" w:type="dxa"/>
      </w:tblCellMar>
    </w:tblPr>
    <w:tblGrid>
      <w:gridCol w:w="10201"/>
    </w:tblGrid>
    <w:tr>
      <w:trPr>
        <w:trHeight w:val="420" w:hRule="exact"/>
      </w:trPr>
      <w:tc>
        <w:tcPr>
          <w:tcW w:w="10201" w:type="dxa"/>
          <w:tcBorders>
            <w:top w:val="single" w:sz="4" w:space="0" w:color="000000"/>
          </w:tcBorders>
        </w:tcPr>
        <w:p>
          <w:pPr>
            <w:pStyle w:val="FirmInfo"/>
            <w:spacing w:before="180" w:after="0"/>
            <w:jc w:val="both"/>
            <w:rPr/>
          </w:pPr>
          <w:r>
            <w:rPr/>
            <w:t xml:space="preserve">130 South Franklin Street, Rocky Mount, NC 27804  </w:t>
          </w:r>
          <w:r>
            <w:rPr>
              <w:rFonts w:eastAsia="Wingdings" w:cs="Wingdings" w:ascii="Wingdings" w:hAnsi="Wingdings"/>
              <w:sz w:val="12"/>
            </w:rPr>
            <w:sym w:font="Wingdings" w:char="f06c"/>
          </w:r>
          <w:r>
            <w:rPr/>
            <w:t xml:space="preserve">  P.O. Box 353, Rocky Mount, NC 27802.0353  </w:t>
          </w:r>
          <w:r>
            <w:rPr>
              <w:rFonts w:eastAsia="Wingdings" w:cs="Wingdings" w:ascii="Wingdings" w:hAnsi="Wingdings"/>
              <w:sz w:val="12"/>
            </w:rPr>
            <w:sym w:font="Wingdings" w:char="f06c"/>
          </w:r>
          <w:r>
            <w:rPr/>
            <w:t xml:space="preserve">  252.446.2341 Tel  </w:t>
          </w:r>
          <w:r>
            <w:rPr>
              <w:rFonts w:eastAsia="Wingdings" w:cs="Wingdings" w:ascii="Wingdings" w:hAnsi="Wingdings"/>
              <w:sz w:val="12"/>
            </w:rPr>
            <w:sym w:font="Wingdings" w:char="f06c"/>
          </w:r>
          <w:r>
            <w:rPr/>
            <w:t xml:space="preserve">  252.972.7045 Fax</w:t>
            <w:b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2">
          <wp:simplePos x="0" y="0"/>
          <wp:positionH relativeFrom="column">
            <wp:posOffset>-274320</wp:posOffset>
          </wp:positionH>
          <wp:positionV relativeFrom="paragraph">
            <wp:posOffset>-182880</wp:posOffset>
          </wp:positionV>
          <wp:extent cx="2558415" cy="427990"/>
          <wp:effectExtent l="0" t="0" r="0" b="0"/>
          <wp:wrapTopAndBottom/>
          <wp:docPr id="2" name="ps_logo_bw_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_logo_bw_ep" descr="" title=""/>
                  <pic:cNvPicPr>
                    <a:picLocks noChangeAspect="1" noChangeArrowheads="1"/>
                  </pic:cNvPicPr>
                </pic:nvPicPr>
                <pic:blipFill>
                  <a:blip r:embed="rId1"/>
                  <a:srcRect l="-13" t="-79" r="-13" b="-79"/>
                  <a:stretch>
                    <a:fillRect/>
                  </a:stretch>
                </pic:blipFill>
                <pic:spPr bwMode="auto">
                  <a:xfrm>
                    <a:off x="0" y="0"/>
                    <a:ext cx="2558415" cy="42799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upperRoman"/>
      <w:lvlText w:val="%1."/>
      <w:lvlJc w:val="start"/>
      <w:pPr>
        <w:tabs>
          <w:tab w:val="num" w:pos="720"/>
        </w:tabs>
        <w:ind w:start="720" w:hanging="720"/>
      </w:p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keepNext w:val="true"/>
      <w:numPr>
        <w:ilvl w:val="1"/>
        <w:numId w:val="1"/>
      </w:numPr>
      <w:tabs>
        <w:tab w:val="clear" w:pos="720"/>
        <w:tab w:val="left" w:pos="5040" w:leader="none"/>
      </w:tabs>
      <w:outlineLvl w:val="1"/>
    </w:pPr>
    <w:rPr/>
  </w:style>
  <w:style w:type="paragraph" w:styleId="Heading3">
    <w:name w:val="heading 3"/>
    <w:basedOn w:val="Normal"/>
    <w:next w:val="Normal"/>
    <w:qFormat/>
    <w:pPr>
      <w:keepNext w:val="true"/>
      <w:numPr>
        <w:ilvl w:val="2"/>
        <w:numId w:val="1"/>
      </w:numPr>
      <w:tabs>
        <w:tab w:val="clear" w:pos="720"/>
        <w:tab w:val="left" w:pos="5040" w:leader="none"/>
      </w:tabs>
      <w:ind w:hanging="5040" w:start="5040" w:end="0"/>
      <w:outlineLvl w:val="2"/>
    </w:pPr>
    <w:rPr/>
  </w:style>
  <w:style w:type="paragraph" w:styleId="Heading4">
    <w:name w:val="heading 4"/>
    <w:basedOn w:val="Normal"/>
    <w:next w:val="Normal"/>
    <w:qFormat/>
    <w:pPr>
      <w:keepNext w:val="true"/>
      <w:numPr>
        <w:ilvl w:val="3"/>
        <w:numId w:val="1"/>
      </w:numPr>
      <w:outlineLvl w:val="3"/>
    </w:pPr>
    <w:rPr/>
  </w:style>
  <w:style w:type="paragraph" w:styleId="Heading5">
    <w:name w:val="heading 5"/>
    <w:basedOn w:val="Normal"/>
    <w:next w:val="Normal"/>
    <w:qFormat/>
    <w:pPr>
      <w:keepNext w:val="true"/>
      <w:numPr>
        <w:ilvl w:val="4"/>
        <w:numId w:val="1"/>
      </w:numPr>
      <w:outlineLvl w:val="4"/>
    </w:pPr>
    <w:rPr/>
  </w:style>
  <w:style w:type="paragraph" w:styleId="Heading6">
    <w:name w:val="heading 6"/>
    <w:basedOn w:val="Normal"/>
    <w:next w:val="Normal"/>
    <w:qFormat/>
    <w:pPr>
      <w:keepNext w:val="true"/>
      <w:keepLines/>
      <w:numPr>
        <w:ilvl w:val="5"/>
        <w:numId w:val="1"/>
      </w:numPr>
      <w:spacing w:lineRule="exact" w:line="240" w:before="240" w:after="0"/>
      <w:ind w:hanging="0" w:start="0" w:end="720"/>
      <w:jc w:val="both"/>
      <w:outlineLvl w:val="5"/>
    </w:pPr>
    <w:rPr>
      <w:sz w:val="24"/>
    </w:rPr>
  </w:style>
  <w:style w:type="paragraph" w:styleId="Heading7">
    <w:name w:val="heading 7"/>
    <w:basedOn w:val="Normal"/>
    <w:next w:val="Normal"/>
    <w:qFormat/>
    <w:pPr>
      <w:keepNext w:val="true"/>
      <w:keepLines/>
      <w:numPr>
        <w:ilvl w:val="6"/>
        <w:numId w:val="1"/>
      </w:numPr>
      <w:spacing w:lineRule="exact" w:line="240" w:before="240" w:after="0"/>
      <w:ind w:hanging="0" w:start="0" w:end="720"/>
      <w:jc w:val="both"/>
      <w:outlineLvl w:val="6"/>
    </w:pPr>
    <w:rPr/>
  </w:style>
  <w:style w:type="paragraph" w:styleId="Heading8">
    <w:name w:val="heading 8"/>
    <w:basedOn w:val="Normal"/>
    <w:next w:val="Normal"/>
    <w:qFormat/>
    <w:pPr>
      <w:keepNext w:val="true"/>
      <w:keepLines/>
      <w:numPr>
        <w:ilvl w:val="7"/>
        <w:numId w:val="1"/>
      </w:numPr>
      <w:spacing w:lineRule="exact" w:line="240" w:before="240" w:after="0"/>
      <w:ind w:hanging="0" w:start="0" w:end="720"/>
      <w:jc w:val="both"/>
      <w:outlineLvl w:val="7"/>
    </w:pPr>
    <w:rPr/>
  </w:style>
  <w:style w:type="paragraph" w:styleId="Heading9">
    <w:name w:val="heading 9"/>
    <w:basedOn w:val="Normal"/>
    <w:next w:val="Normal"/>
    <w:qFormat/>
    <w:pPr>
      <w:keepNext w:val="true"/>
      <w:keepLines/>
      <w:numPr>
        <w:ilvl w:val="8"/>
        <w:numId w:val="1"/>
      </w:numPr>
      <w:spacing w:lineRule="exact" w:line="240" w:before="240" w:after="0"/>
      <w:ind w:hanging="0" w:start="0" w:end="720"/>
      <w:jc w:val="both"/>
      <w:outlineLvl w:val="8"/>
    </w:pPr>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Times New Roman" w:hAnsi="Times New Roman" w:cs="Times New Roman"/>
      <w:b w:val="false"/>
      <w:i w:val="false"/>
      <w:sz w:val="24"/>
    </w:rPr>
  </w:style>
  <w:style w:type="character" w:styleId="WW8Num6z0">
    <w:name w:val="WW8Num6z0"/>
    <w:qFormat/>
    <w:rPr>
      <w:rFonts w:ascii="Times New Roman" w:hAnsi="Times New Roman" w:cs="Times New Roman"/>
      <w:b w:val="false"/>
      <w:i w:val="false"/>
      <w:sz w:val="24"/>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ReLine">
    <w:name w:val="ReLine"/>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040" w:leader="none"/>
      </w:tabs>
      <w:ind w:hanging="0" w:start="0" w:end="66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PS-Bullet">
    <w:name w:val="PS-Bullet"/>
    <w:basedOn w:val="Normal"/>
    <w:qFormat/>
    <w:pPr>
      <w:numPr>
        <w:ilvl w:val="0"/>
        <w:numId w:val="5"/>
      </w:numPr>
      <w:spacing w:before="0" w:after="240"/>
      <w:ind w:hanging="720" w:start="1440" w:end="0"/>
      <w:jc w:val="both"/>
    </w:pPr>
    <w:rPr/>
  </w:style>
  <w:style w:type="paragraph" w:styleId="PS-DblInd55">
    <w:name w:val="PS-Dbl Ind .5/.5"/>
    <w:basedOn w:val="Normal"/>
    <w:qFormat/>
    <w:pPr>
      <w:spacing w:before="0" w:after="240"/>
      <w:ind w:hanging="0" w:start="720" w:end="720"/>
      <w:jc w:val="both"/>
    </w:pPr>
    <w:rPr/>
  </w:style>
  <w:style w:type="paragraph" w:styleId="PS-DblInd11">
    <w:name w:val="PS-Dbl Ind 1/1"/>
    <w:basedOn w:val="Normal"/>
    <w:qFormat/>
    <w:pPr>
      <w:spacing w:before="0" w:after="240"/>
      <w:ind w:hanging="0" w:start="1440" w:end="1440"/>
      <w:jc w:val="both"/>
    </w:pPr>
    <w:rPr/>
  </w:style>
  <w:style w:type="paragraph" w:styleId="PS-DblSpFL5">
    <w:name w:val="PS-Dbl Sp FL .5"/>
    <w:basedOn w:val="Normal"/>
    <w:qFormat/>
    <w:pPr>
      <w:spacing w:lineRule="auto" w:line="480"/>
      <w:ind w:firstLine="720" w:start="0" w:end="0"/>
      <w:jc w:val="both"/>
    </w:pPr>
    <w:rPr/>
  </w:style>
  <w:style w:type="paragraph" w:styleId="PS-DblSpFL1">
    <w:name w:val="PS-Dbl Sp FL 1"/>
    <w:basedOn w:val="Normal"/>
    <w:qFormat/>
    <w:pPr>
      <w:spacing w:lineRule="auto" w:line="480"/>
      <w:ind w:firstLine="1440" w:start="0" w:end="0"/>
      <w:jc w:val="both"/>
    </w:pPr>
    <w:rPr/>
  </w:style>
  <w:style w:type="paragraph" w:styleId="PS-DblSp">
    <w:name w:val="PS-Dbl Sp"/>
    <w:basedOn w:val="Normal"/>
    <w:qFormat/>
    <w:pPr>
      <w:spacing w:lineRule="auto" w:line="480"/>
      <w:jc w:val="both"/>
    </w:pPr>
    <w:rPr/>
  </w:style>
  <w:style w:type="paragraph" w:styleId="PS-Hang55">
    <w:name w:val="PS-Hang .5/.5"/>
    <w:basedOn w:val="Normal"/>
    <w:qFormat/>
    <w:pPr>
      <w:spacing w:before="0" w:after="240"/>
      <w:ind w:hanging="720" w:start="1440" w:end="0"/>
      <w:jc w:val="both"/>
    </w:pPr>
    <w:rPr/>
  </w:style>
  <w:style w:type="paragraph" w:styleId="PS-Hang05">
    <w:name w:val="PS-Hang 0/.5"/>
    <w:basedOn w:val="Normal"/>
    <w:qFormat/>
    <w:pPr>
      <w:spacing w:before="0" w:after="240"/>
      <w:ind w:hanging="720" w:start="720" w:end="0"/>
    </w:pPr>
    <w:rPr/>
  </w:style>
  <w:style w:type="paragraph" w:styleId="PS-HeaderD">
    <w:name w:val="PS-Header D"/>
    <w:basedOn w:val="Normal"/>
    <w:next w:val="Normal"/>
    <w:qFormat/>
    <w:pPr>
      <w:keepNext w:val="true"/>
      <w:spacing w:before="0" w:after="240"/>
      <w:jc w:val="center"/>
    </w:pPr>
    <w:rPr>
      <w:b/>
      <w:u w:val="single"/>
    </w:rPr>
  </w:style>
  <w:style w:type="paragraph" w:styleId="PS-HeadingA">
    <w:name w:val="PS-Heading A"/>
    <w:basedOn w:val="Normal"/>
    <w:next w:val="Normal"/>
    <w:qFormat/>
    <w:pPr>
      <w:keepNext w:val="true"/>
      <w:spacing w:before="0" w:after="240"/>
      <w:jc w:val="center"/>
    </w:pPr>
    <w:rPr>
      <w:b/>
      <w:caps/>
      <w:u w:val="single"/>
    </w:rPr>
  </w:style>
  <w:style w:type="paragraph" w:styleId="PS-HeadingB">
    <w:name w:val="PS-Heading B"/>
    <w:basedOn w:val="Normal"/>
    <w:next w:val="Normal"/>
    <w:qFormat/>
    <w:pPr>
      <w:keepNext w:val="true"/>
      <w:spacing w:before="0" w:after="240"/>
      <w:jc w:val="center"/>
    </w:pPr>
    <w:rPr>
      <w:b/>
      <w:caps/>
    </w:rPr>
  </w:style>
  <w:style w:type="paragraph" w:styleId="PS-HeadingC">
    <w:name w:val="PS-Heading C"/>
    <w:basedOn w:val="Normal"/>
    <w:next w:val="Normal"/>
    <w:qFormat/>
    <w:pPr>
      <w:keepNext w:val="true"/>
      <w:spacing w:before="0" w:after="240"/>
      <w:jc w:val="center"/>
    </w:pPr>
    <w:rPr>
      <w:caps/>
      <w:u w:val="single"/>
    </w:rPr>
  </w:style>
  <w:style w:type="paragraph" w:styleId="PS-LeftInd5">
    <w:name w:val="PS-Left Ind .5"/>
    <w:basedOn w:val="Normal"/>
    <w:qFormat/>
    <w:pPr>
      <w:spacing w:before="0" w:after="240"/>
      <w:ind w:hanging="0" w:start="720" w:end="0"/>
      <w:jc w:val="both"/>
    </w:pPr>
    <w:rPr/>
  </w:style>
  <w:style w:type="paragraph" w:styleId="PS-LeftInd1">
    <w:name w:val="PS-Left Ind 1"/>
    <w:basedOn w:val="Normal"/>
    <w:qFormat/>
    <w:pPr>
      <w:spacing w:before="0" w:after="240"/>
      <w:ind w:hanging="0" w:start="1440" w:end="0"/>
      <w:jc w:val="both"/>
    </w:pPr>
    <w:rPr/>
  </w:style>
  <w:style w:type="paragraph" w:styleId="PS-Number1">
    <w:name w:val="PS-Number 1"/>
    <w:basedOn w:val="Normal"/>
    <w:qFormat/>
    <w:pPr>
      <w:numPr>
        <w:ilvl w:val="0"/>
        <w:numId w:val="2"/>
      </w:numPr>
      <w:tabs>
        <w:tab w:val="clear" w:pos="720"/>
      </w:tabs>
      <w:spacing w:before="0" w:after="240"/>
      <w:ind w:hanging="720" w:start="720" w:end="0"/>
      <w:jc w:val="both"/>
    </w:pPr>
    <w:rPr/>
  </w:style>
  <w:style w:type="paragraph" w:styleId="PS-NumberA">
    <w:name w:val="PS-Number A"/>
    <w:basedOn w:val="Normal"/>
    <w:qFormat/>
    <w:pPr>
      <w:numPr>
        <w:ilvl w:val="0"/>
        <w:numId w:val="4"/>
      </w:numPr>
      <w:tabs>
        <w:tab w:val="clear" w:pos="720"/>
      </w:tabs>
      <w:spacing w:before="0" w:after="240"/>
      <w:ind w:hanging="720" w:start="720" w:end="0"/>
      <w:jc w:val="both"/>
    </w:pPr>
    <w:rPr/>
  </w:style>
  <w:style w:type="paragraph" w:styleId="PS-NumberI">
    <w:name w:val="PS-Number I"/>
    <w:basedOn w:val="Normal"/>
    <w:qFormat/>
    <w:pPr>
      <w:numPr>
        <w:ilvl w:val="0"/>
        <w:numId w:val="3"/>
      </w:numPr>
      <w:tabs>
        <w:tab w:val="clear" w:pos="720"/>
      </w:tabs>
      <w:spacing w:before="0" w:after="240"/>
      <w:jc w:val="both"/>
    </w:pPr>
    <w:rPr/>
  </w:style>
  <w:style w:type="paragraph" w:styleId="PS-Sig35">
    <w:name w:val="PS-Sig 3.5"/>
    <w:basedOn w:val="Normal"/>
    <w:qFormat/>
    <w:pPr>
      <w:keepLines/>
      <w:ind w:hanging="0" w:start="5040" w:end="0"/>
    </w:pPr>
    <w:rPr/>
  </w:style>
  <w:style w:type="paragraph" w:styleId="PS-Sig4">
    <w:name w:val="PS-Sig 4"/>
    <w:basedOn w:val="Normal"/>
    <w:qFormat/>
    <w:pPr>
      <w:keepLines/>
      <w:ind w:hanging="0" w:start="5760" w:end="0"/>
    </w:pPr>
    <w:rPr/>
  </w:style>
  <w:style w:type="paragraph" w:styleId="PS-Sig45">
    <w:name w:val="PS-Sig 4.5"/>
    <w:basedOn w:val="Normal"/>
    <w:qFormat/>
    <w:pPr>
      <w:keepLines/>
      <w:ind w:hanging="0" w:start="6480" w:end="0"/>
    </w:pPr>
    <w:rPr/>
  </w:style>
  <w:style w:type="paragraph" w:styleId="PS-SingleSpFL1">
    <w:name w:val="PS-Single Sp FL 1"/>
    <w:basedOn w:val="Normal"/>
    <w:qFormat/>
    <w:pPr>
      <w:spacing w:before="0" w:after="240"/>
      <w:ind w:firstLine="1440" w:start="0" w:end="0"/>
      <w:jc w:val="both"/>
    </w:pPr>
    <w:rPr/>
  </w:style>
  <w:style w:type="paragraph" w:styleId="PS-SingleSpFL5">
    <w:name w:val="PS-Single Sp FL.5"/>
    <w:basedOn w:val="Normal"/>
    <w:qFormat/>
    <w:pPr>
      <w:spacing w:before="0" w:after="240"/>
      <w:ind w:firstLine="720" w:start="0" w:end="0"/>
      <w:jc w:val="both"/>
    </w:pPr>
    <w:rPr/>
  </w:style>
  <w:style w:type="paragraph" w:styleId="PS-SingleSp">
    <w:name w:val="PS-Single Sp"/>
    <w:basedOn w:val="Normal"/>
    <w:qFormat/>
    <w:pPr>
      <w:spacing w:before="0" w:after="240"/>
      <w:jc w:val="both"/>
    </w:pPr>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Date">
    <w:name w:val="Date"/>
    <w:basedOn w:val="Normal"/>
    <w:next w:val="Normal"/>
    <w:qFormat/>
    <w:pPr/>
    <w:rPr>
      <w:b/>
      <w:sz w:val="26"/>
    </w:rPr>
  </w:style>
  <w:style w:type="paragraph" w:styleId="FirmInfo">
    <w:name w:val="FirmInfo"/>
    <w:basedOn w:val="Normal"/>
    <w:qFormat/>
    <w:pPr>
      <w:spacing w:lineRule="exact" w:line="180"/>
      <w:jc w:val="center"/>
    </w:pPr>
    <w:rPr>
      <w:rFonts w:ascii="Eurasia" w:hAnsi="Eurasia" w:cs="Eurasia"/>
      <w:sz w:val="16"/>
    </w:rPr>
  </w:style>
  <w:style w:type="paragraph" w:styleId="BCCStyle">
    <w:name w:val="BCCStyle"/>
    <w:basedOn w:val="Normal"/>
    <w:qFormat/>
    <w:pPr>
      <w:ind w:hanging="720" w:start="720" w:end="0"/>
    </w:pPr>
    <w:rPr/>
  </w:style>
  <w:style w:type="paragraph" w:styleId="Salutation">
    <w:name w:val="Salutation"/>
    <w:basedOn w:val="Normal"/>
    <w:next w:val="Normal"/>
    <w:qFormat/>
    <w:pPr/>
    <w:rPr/>
  </w:style>
  <w:style w:type="paragraph" w:styleId="BodyPS">
    <w:name w:val="BodyPS"/>
    <w:basedOn w:val="BodyText"/>
    <w:qFormat/>
    <w:pPr>
      <w:tabs>
        <w:tab w:val="clear" w:pos="5040"/>
      </w:tabs>
      <w:spacing w:before="0" w:after="240"/>
      <w:ind w:firstLine="720" w:start="0" w:end="0"/>
      <w:jc w:val="both"/>
    </w:pPr>
    <w:rPr/>
  </w:style>
  <w:style w:type="paragraph" w:styleId="DelivStyle">
    <w:name w:val="DelivStyle"/>
    <w:basedOn w:val="Normal"/>
    <w:qFormat/>
    <w:pPr>
      <w:ind w:hanging="864" w:start="85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2000-07-12T16:07:00Z</dcterms:created>
  <dc:creator>Poyner &amp; Spruill</dc:creator>
  <dc:description/>
  <dc:language>en-CA</dc:language>
  <cp:lastModifiedBy>Poyner &amp; Spruill</cp:lastModifiedBy>
  <dcterms:modified xsi:type="dcterms:W3CDTF">2000-07-12T16:41:00Z</dcterms:modified>
  <cp:revision>2</cp:revision>
  <dc:subject/>
  <dc:title>M E M O R A N D U M</dc:title>
</cp:coreProperties>
</file>