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Rick Causey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Cullen Duke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Tax</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Tax on Asset Sales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jc w:val="both"/>
        <w:rPr>
          <w:sz w:val="22"/>
        </w:rPr>
      </w:pPr>
      <w:bookmarkStart w:id="1" w:name="StartOfMemo"/>
      <w:bookmarkEnd w:id="1"/>
      <w:r>
        <w:rPr>
          <w:sz w:val="22"/>
        </w:rPr>
        <w:t>In our meeting last week, you requested more information on EGAS assets the sales of which could give rise to income tax and tax accounting issues similar to those we discussed with respect to EcoElectrica and the Philippines power projects.  I have surveyed the latest information available on tax and book basis in EGAS assets to identify such assets.</w:t>
      </w:r>
    </w:p>
    <w:p>
      <w:pPr>
        <w:pStyle w:val="Body"/>
        <w:jc w:val="both"/>
        <w:rPr>
          <w:sz w:val="22"/>
        </w:rPr>
      </w:pPr>
      <w:r>
        <w:rPr>
          <w:sz w:val="22"/>
        </w:rPr>
      </w:r>
    </w:p>
    <w:p>
      <w:pPr>
        <w:pStyle w:val="Body"/>
        <w:jc w:val="both"/>
        <w:rPr/>
      </w:pPr>
      <w:r>
        <w:rPr>
          <w:sz w:val="22"/>
        </w:rPr>
        <w:t>The assets</w:t>
      </w:r>
      <w:r>
        <w:rPr>
          <w:rStyle w:val="FootnoteCharacters"/>
          <w:rStyle w:val="FootnoteReference"/>
          <w:sz w:val="22"/>
        </w:rPr>
        <w:footnoteReference w:id="2"/>
      </w:r>
      <w:r>
        <w:rPr>
          <w:sz w:val="22"/>
        </w:rPr>
        <w:t xml:space="preserve"> for which we have materially greater book value than tax basis</w:t>
      </w:r>
      <w:r>
        <w:rPr>
          <w:rStyle w:val="FootnoteCharacters"/>
          <w:rStyle w:val="FootnoteReference"/>
          <w:sz w:val="22"/>
        </w:rPr>
        <w:footnoteReference w:id="3"/>
      </w:r>
      <w:r>
        <w:rPr>
          <w:sz w:val="22"/>
        </w:rPr>
        <w:t xml:space="preserve"> are:</w:t>
      </w:r>
    </w:p>
    <w:p>
      <w:pPr>
        <w:pStyle w:val="Body"/>
        <w:numPr>
          <w:ilvl w:val="0"/>
          <w:numId w:val="2"/>
        </w:numPr>
        <w:jc w:val="both"/>
        <w:rPr>
          <w:sz w:val="22"/>
        </w:rPr>
      </w:pPr>
      <w:r>
        <w:rPr>
          <w:sz w:val="22"/>
        </w:rPr>
        <w:t>AccroVen (Venezuela gas compression)</w:t>
      </w:r>
    </w:p>
    <w:p>
      <w:pPr>
        <w:pStyle w:val="Body"/>
        <w:numPr>
          <w:ilvl w:val="0"/>
          <w:numId w:val="2"/>
        </w:numPr>
        <w:jc w:val="both"/>
        <w:rPr>
          <w:sz w:val="22"/>
        </w:rPr>
      </w:pPr>
      <w:r>
        <w:rPr>
          <w:sz w:val="22"/>
        </w:rPr>
        <w:t>Batangas (Philippines power)</w:t>
      </w:r>
    </w:p>
    <w:p>
      <w:pPr>
        <w:pStyle w:val="Body"/>
        <w:numPr>
          <w:ilvl w:val="0"/>
          <w:numId w:val="2"/>
        </w:numPr>
        <w:jc w:val="both"/>
        <w:rPr>
          <w:sz w:val="22"/>
        </w:rPr>
      </w:pPr>
      <w:r>
        <w:rPr>
          <w:sz w:val="22"/>
        </w:rPr>
        <w:t>Bolivia to Brazil pipeline</w:t>
      </w:r>
    </w:p>
    <w:p>
      <w:pPr>
        <w:pStyle w:val="Body"/>
        <w:numPr>
          <w:ilvl w:val="0"/>
          <w:numId w:val="2"/>
        </w:numPr>
        <w:jc w:val="both"/>
        <w:rPr>
          <w:sz w:val="22"/>
        </w:rPr>
      </w:pPr>
      <w:r>
        <w:rPr>
          <w:sz w:val="22"/>
        </w:rPr>
        <w:t>BLM – Bahia Las Minas (Panama power)</w:t>
      </w:r>
    </w:p>
    <w:p>
      <w:pPr>
        <w:pStyle w:val="Body"/>
        <w:numPr>
          <w:ilvl w:val="0"/>
          <w:numId w:val="2"/>
        </w:numPr>
        <w:jc w:val="both"/>
        <w:rPr>
          <w:sz w:val="22"/>
        </w:rPr>
      </w:pPr>
      <w:r>
        <w:rPr>
          <w:sz w:val="22"/>
        </w:rPr>
        <w:t>Cuiaba (integrated power and pipeline)</w:t>
      </w:r>
    </w:p>
    <w:p>
      <w:pPr>
        <w:pStyle w:val="Body"/>
        <w:numPr>
          <w:ilvl w:val="0"/>
          <w:numId w:val="2"/>
        </w:numPr>
        <w:jc w:val="both"/>
        <w:rPr>
          <w:sz w:val="22"/>
        </w:rPr>
      </w:pPr>
      <w:r>
        <w:rPr>
          <w:sz w:val="22"/>
        </w:rPr>
        <w:t>Dabhol</w:t>
      </w:r>
    </w:p>
    <w:p>
      <w:pPr>
        <w:pStyle w:val="Body"/>
        <w:numPr>
          <w:ilvl w:val="0"/>
          <w:numId w:val="2"/>
        </w:numPr>
        <w:jc w:val="both"/>
        <w:rPr>
          <w:sz w:val="22"/>
        </w:rPr>
      </w:pPr>
      <w:r>
        <w:rPr>
          <w:sz w:val="22"/>
        </w:rPr>
        <w:t>Elektro</w:t>
      </w:r>
    </w:p>
    <w:p>
      <w:pPr>
        <w:pStyle w:val="Body"/>
        <w:numPr>
          <w:ilvl w:val="0"/>
          <w:numId w:val="2"/>
        </w:numPr>
        <w:jc w:val="both"/>
        <w:rPr>
          <w:sz w:val="22"/>
        </w:rPr>
      </w:pPr>
      <w:r>
        <w:rPr>
          <w:sz w:val="22"/>
        </w:rPr>
        <w:t>GasPart (Brazil gas LDCs)</w:t>
      </w:r>
    </w:p>
    <w:p>
      <w:pPr>
        <w:pStyle w:val="Body"/>
        <w:numPr>
          <w:ilvl w:val="0"/>
          <w:numId w:val="2"/>
        </w:numPr>
        <w:jc w:val="both"/>
        <w:rPr>
          <w:sz w:val="22"/>
        </w:rPr>
      </w:pPr>
      <w:r>
        <w:rPr>
          <w:sz w:val="22"/>
        </w:rPr>
        <w:t>Nowa Sarzyna (Poland power)</w:t>
      </w:r>
      <w:r>
        <w:rPr>
          <w:rStyle w:val="FootnoteCharacters"/>
          <w:rStyle w:val="FootnoteReference"/>
          <w:sz w:val="22"/>
        </w:rPr>
        <w:footnoteReference w:id="4"/>
      </w:r>
    </w:p>
    <w:p>
      <w:pPr>
        <w:pStyle w:val="Body"/>
        <w:numPr>
          <w:ilvl w:val="0"/>
          <w:numId w:val="2"/>
        </w:numPr>
        <w:jc w:val="both"/>
        <w:rPr>
          <w:sz w:val="22"/>
        </w:rPr>
      </w:pPr>
      <w:r>
        <w:rPr>
          <w:sz w:val="22"/>
        </w:rPr>
        <w:t>Piti (Guam power)</w:t>
      </w:r>
    </w:p>
    <w:p>
      <w:pPr>
        <w:pStyle w:val="Body"/>
        <w:numPr>
          <w:ilvl w:val="0"/>
          <w:numId w:val="2"/>
        </w:numPr>
        <w:jc w:val="both"/>
        <w:rPr>
          <w:sz w:val="22"/>
        </w:rPr>
      </w:pPr>
      <w:r>
        <w:rPr>
          <w:sz w:val="22"/>
        </w:rPr>
        <w:t>Sarlux (Italy power)</w:t>
      </w:r>
      <w:r>
        <w:rPr>
          <w:rStyle w:val="FootnoteCharacters"/>
          <w:rStyle w:val="FootnoteReference"/>
          <w:sz w:val="22"/>
        </w:rPr>
        <w:footnoteReference w:customMarkFollows="1" w:id="5"/>
        <w:t>3</w:t>
      </w:r>
    </w:p>
    <w:p>
      <w:pPr>
        <w:pStyle w:val="Body"/>
        <w:numPr>
          <w:ilvl w:val="0"/>
          <w:numId w:val="2"/>
        </w:numPr>
        <w:jc w:val="both"/>
        <w:rPr>
          <w:sz w:val="22"/>
        </w:rPr>
      </w:pPr>
      <w:r>
        <w:rPr>
          <w:sz w:val="22"/>
        </w:rPr>
        <w:t>SK-Enron JV</w:t>
      </w:r>
    </w:p>
    <w:p>
      <w:pPr>
        <w:pStyle w:val="Body"/>
        <w:numPr>
          <w:ilvl w:val="0"/>
          <w:numId w:val="2"/>
        </w:numPr>
        <w:jc w:val="both"/>
        <w:rPr>
          <w:sz w:val="22"/>
        </w:rPr>
      </w:pPr>
      <w:r>
        <w:rPr>
          <w:sz w:val="22"/>
        </w:rPr>
        <w:t>Smith-Enron Cogen (SECLP)</w:t>
      </w:r>
    </w:p>
    <w:p>
      <w:pPr>
        <w:pStyle w:val="Body"/>
        <w:numPr>
          <w:ilvl w:val="0"/>
          <w:numId w:val="2"/>
        </w:numPr>
        <w:jc w:val="both"/>
        <w:rPr>
          <w:sz w:val="22"/>
        </w:rPr>
      </w:pPr>
      <w:r>
        <w:rPr>
          <w:sz w:val="22"/>
        </w:rPr>
        <w:t>Subic (Philippines power)</w:t>
      </w:r>
    </w:p>
    <w:p>
      <w:pPr>
        <w:pStyle w:val="Body"/>
        <w:numPr>
          <w:ilvl w:val="0"/>
          <w:numId w:val="2"/>
        </w:numPr>
        <w:jc w:val="both"/>
        <w:rPr>
          <w:sz w:val="22"/>
        </w:rPr>
      </w:pPr>
      <w:r>
        <w:rPr>
          <w:sz w:val="22"/>
        </w:rPr>
        <w:t>Trakya (Turkey power)</w:t>
      </w:r>
      <w:r>
        <w:rPr>
          <w:rStyle w:val="FootnoteCharacters"/>
          <w:rStyle w:val="FootnoteReference"/>
          <w:sz w:val="22"/>
        </w:rPr>
        <w:footnoteReference w:customMarkFollows="1" w:id="6"/>
        <w:t>3</w:t>
      </w:r>
    </w:p>
    <w:p>
      <w:pPr>
        <w:pStyle w:val="Body"/>
        <w:numPr>
          <w:ilvl w:val="0"/>
          <w:numId w:val="2"/>
        </w:numPr>
        <w:jc w:val="both"/>
        <w:rPr>
          <w:sz w:val="22"/>
        </w:rPr>
      </w:pPr>
      <w:r>
        <w:rPr>
          <w:sz w:val="22"/>
        </w:rPr>
        <w:t>TGS/CIESA</w:t>
      </w:r>
    </w:p>
    <w:p>
      <w:pPr>
        <w:pStyle w:val="Body"/>
        <w:numPr>
          <w:ilvl w:val="0"/>
          <w:numId w:val="2"/>
        </w:numPr>
        <w:jc w:val="both"/>
        <w:rPr>
          <w:sz w:val="22"/>
        </w:rPr>
      </w:pPr>
      <w:r>
        <w:rPr>
          <w:sz w:val="22"/>
        </w:rPr>
        <w:t>Transredes</w:t>
      </w:r>
    </w:p>
    <w:p>
      <w:pPr>
        <w:pStyle w:val="Body"/>
        <w:numPr>
          <w:ilvl w:val="0"/>
          <w:numId w:val="2"/>
        </w:numPr>
        <w:jc w:val="both"/>
        <w:rPr>
          <w:sz w:val="22"/>
        </w:rPr>
      </w:pPr>
      <w:r>
        <w:rPr>
          <w:sz w:val="22"/>
        </w:rPr>
        <w:t>Vengas/Calife (Venezuela bottled gas/power generation)</w:t>
      </w:r>
    </w:p>
    <w:p>
      <w:pPr>
        <w:pStyle w:val="Body"/>
        <w:jc w:val="both"/>
        <w:rPr>
          <w:sz w:val="22"/>
        </w:rPr>
      </w:pPr>
      <w:r>
        <w:rPr>
          <w:sz w:val="22"/>
        </w:rPr>
      </w:r>
    </w:p>
    <w:p>
      <w:pPr>
        <w:pStyle w:val="Body"/>
        <w:ind w:start="0" w:end="0"/>
        <w:jc w:val="both"/>
        <w:rPr>
          <w:sz w:val="22"/>
        </w:rPr>
      </w:pPr>
      <w:r>
        <w:rPr>
          <w:sz w:val="22"/>
        </w:rPr>
        <w:t>The principal causes for the excess of book value over tax basis include book earnings (which generally do not affect tax basis) and other book entries such as cumulative translation adjustment accounts (which also do not generally affect tax basis).  Other transactions, such as FAS 125/FAS 140 monetizations that are treated as financings for tax purposes, can cause an increase in book value over tax basis.</w:t>
      </w:r>
    </w:p>
    <w:p>
      <w:pPr>
        <w:pStyle w:val="Body"/>
        <w:ind w:start="0" w:end="0"/>
        <w:jc w:val="both"/>
        <w:rPr>
          <w:sz w:val="22"/>
        </w:rPr>
      </w:pPr>
      <w:r>
        <w:rPr>
          <w:sz w:val="22"/>
        </w:rPr>
      </w:r>
    </w:p>
    <w:p>
      <w:pPr>
        <w:pStyle w:val="Body"/>
        <w:ind w:start="0" w:end="0"/>
        <w:jc w:val="both"/>
        <w:rPr>
          <w:sz w:val="22"/>
        </w:rPr>
      </w:pPr>
      <w:r>
        <w:rPr>
          <w:sz w:val="22"/>
        </w:rPr>
        <w:t>In each of these cases, it is likely to be difficult to structure a sale that would not be currently taxable in the US without incurring local tax instead.  Accordingly, absent some circumstances unique to a particular project or sale, we would likely have a US tax expense (deferred, if not current) even with a sale at book value.  Of course, any proceeds in excess of book value will also increase the amount of the tax gain.</w:t>
      </w:r>
    </w:p>
    <w:p>
      <w:pPr>
        <w:pStyle w:val="Body"/>
        <w:ind w:start="0" w:end="0"/>
        <w:jc w:val="both"/>
        <w:rPr>
          <w:sz w:val="22"/>
        </w:rPr>
      </w:pPr>
      <w:r>
        <w:rPr>
          <w:sz w:val="22"/>
        </w:rPr>
      </w:r>
    </w:p>
    <w:p>
      <w:pPr>
        <w:pStyle w:val="Body"/>
        <w:ind w:start="0" w:end="0"/>
        <w:jc w:val="both"/>
        <w:rPr>
          <w:sz w:val="22"/>
        </w:rPr>
      </w:pPr>
      <w:r>
        <w:rPr>
          <w:sz w:val="22"/>
        </w:rPr>
        <w:t>I have provided limited detail in this memorandum due to the fact that it can be quite complicated to compare “apples to apples” in terms of book value comparisons to tax basis for any particular project without going into substantial detail.  Should you wish to have more detailed information for any or all of these projects, please do not hesitate to let me know.</w:t>
      </w:r>
    </w:p>
    <w:p>
      <w:pPr>
        <w:pStyle w:val="Body"/>
        <w:ind w:start="0" w:end="0"/>
        <w:jc w:val="both"/>
        <w:rPr>
          <w:sz w:val="22"/>
        </w:rPr>
      </w:pPr>
      <w:r>
        <w:rPr>
          <w:sz w:val="22"/>
        </w:rPr>
      </w:r>
    </w:p>
    <w:p>
      <w:pPr>
        <w:pStyle w:val="Body"/>
        <w:ind w:start="0" w:end="0"/>
        <w:jc w:val="both"/>
        <w:rPr>
          <w:sz w:val="22"/>
        </w:rPr>
      </w:pPr>
      <w:r>
        <w:rPr>
          <w:sz w:val="22"/>
        </w:rPr>
        <w:t>The Tax Department will, of course, continue to apply our full resources towards developing strategies to mitigate the cash and book tax impacts of each sale or other transaction as such transactions arise with respect to these assets.</w:t>
      </w:r>
    </w:p>
    <w:p>
      <w:pPr>
        <w:pStyle w:val="CopyList"/>
        <w:jc w:val="both"/>
        <w:rPr>
          <w:sz w:val="22"/>
        </w:rPr>
      </w:pPr>
      <w:r>
        <w:rPr>
          <w:sz w:val="22"/>
        </w:rPr>
        <w:t>CC:</w:t>
      </w:r>
    </w:p>
    <w:p>
      <w:pPr>
        <w:pStyle w:val="CopyList"/>
        <w:spacing w:before="0" w:after="0"/>
        <w:jc w:val="both"/>
        <w:rPr>
          <w:sz w:val="22"/>
        </w:rPr>
      </w:pPr>
      <w:r>
        <w:rPr>
          <w:sz w:val="22"/>
        </w:rPr>
        <w:t>Bob Hermann</w:t>
      </w:r>
    </w:p>
    <w:p>
      <w:pPr>
        <w:pStyle w:val="CopyList"/>
        <w:spacing w:before="0" w:after="0"/>
        <w:jc w:val="both"/>
        <w:rPr>
          <w:sz w:val="22"/>
        </w:rPr>
      </w:pPr>
      <w:r>
        <w:rPr>
          <w:sz w:val="22"/>
        </w:rPr>
        <w:t>Jim Hughes</w:t>
      </w:r>
    </w:p>
    <w:p>
      <w:pPr>
        <w:pStyle w:val="CopyList"/>
        <w:spacing w:before="0" w:after="0"/>
        <w:jc w:val="both"/>
        <w:rPr>
          <w:sz w:val="22"/>
        </w:rPr>
      </w:pPr>
      <w:r>
        <w:rPr>
          <w:sz w:val="22"/>
        </w:rPr>
        <w:t>Jeff Donahue</w:t>
      </w:r>
    </w:p>
    <w:p>
      <w:pPr>
        <w:pStyle w:val="CopyList"/>
        <w:spacing w:before="0" w:after="0"/>
        <w:jc w:val="both"/>
        <w:rPr>
          <w:sz w:val="22"/>
        </w:rPr>
      </w:pPr>
      <w:r>
        <w:rPr>
          <w:sz w:val="22"/>
        </w:rPr>
        <w:t>Jeff Sommers</w:t>
      </w:r>
    </w:p>
    <w:p>
      <w:pPr>
        <w:pStyle w:val="CopyList"/>
        <w:spacing w:before="0" w:after="0"/>
        <w:jc w:val="both"/>
        <w:rPr>
          <w:sz w:val="22"/>
        </w:rPr>
      </w:pPr>
      <w:r>
        <w:rPr>
          <w:sz w:val="22"/>
        </w:rPr>
        <w:t>Greek Rice</w:t>
      </w:r>
    </w:p>
    <w:p>
      <w:pPr>
        <w:pStyle w:val="CopyList"/>
        <w:spacing w:before="0" w:after="0"/>
        <w:jc w:val="both"/>
        <w:rPr>
          <w:sz w:val="22"/>
        </w:rPr>
      </w:pPr>
      <w:r>
        <w:rPr>
          <w:sz w:val="22"/>
        </w:rPr>
        <w:t>Sherron Watkins</w:t>
      </w:r>
    </w:p>
    <w:sectPr>
      <w:headerReference w:type="default" r:id="rId3"/>
      <w:headerReference w:type="first" r:id="rId4"/>
      <w:footerReference w:type="default" r:id="rId5"/>
      <w:footerReference w:type="first" r:id="rId6"/>
      <w:footnotePr>
        <w:numFmt w:val="decimal"/>
      </w:footnotePr>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b/>
        <w:sz w:val="16"/>
      </w:rPr>
    </w:pPr>
    <w:r>
      <w:rPr>
        <w:b/>
        <w:sz w:val="16"/>
      </w:rPr>
    </w:r>
  </w:p>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list excludes assets for which sales are pending (EcoElectrica and EOG India).</w:t>
      </w:r>
    </w:p>
  </w:footnote>
  <w:footnote w:id="3">
    <w:p>
      <w:pPr>
        <w:pStyle w:val="FootnoteText"/>
        <w:rPr/>
      </w:pPr>
      <w:r>
        <w:rPr>
          <w:rStyle w:val="FootnoteCharacters"/>
        </w:rPr>
        <w:footnoteRef/>
      </w:r>
      <w:r>
        <w:rPr/>
        <w:t xml:space="preserve"> </w:t>
      </w:r>
      <w:r>
        <w:rPr/>
        <w:t>Promigas also has a material excess of book value over tax basis due to MTM accounting; however, deferred taxes have been provided for this difference.</w:t>
      </w:r>
    </w:p>
  </w:footnote>
  <w:footnote w:id="4">
    <w:p>
      <w:pPr>
        <w:pStyle w:val="FootnoteText"/>
        <w:rPr/>
      </w:pPr>
      <w:r>
        <w:rPr>
          <w:rStyle w:val="FootnoteCharacters"/>
        </w:rPr>
        <w:footnoteRef/>
      </w:r>
      <w:r>
        <w:rPr/>
        <w:t xml:space="preserve"> </w:t>
      </w:r>
      <w:r>
        <w:rPr/>
        <w:t>While I believe that book value is materially greater than tax basis for Nowa Sarzyna, Sarlux and Trakya, these assets are in transition from Enron Europe to EGAS and I do not have current book values or tax basis.</w:t>
      </w:r>
    </w:p>
  </w:footnote>
  <w:footnote w:id="5">
    <w:p>
      <w:pPr>
        <w:pStyle w:val="FootnoteText"/>
        <w:rPr/>
      </w:pPr>
      <w:r>
        <w:rPr>
          <w:rStyle w:val="FootnoteCharacters"/>
        </w:rPr>
        <w:t>3</w:t>
      </w:r>
      <w:r>
        <w:rPr/>
      </w:r>
    </w:p>
  </w:footnote>
  <w:footnote w:id="6">
    <w:p>
      <w:pPr>
        <w:pStyle w:val="FootnoteText"/>
        <w:rPr/>
      </w:pPr>
      <w:r>
        <w:rPr>
          <w:rStyle w:val="FootnoteCharacters"/>
        </w:rPr>
        <w:t>3</w:t>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2001-09-05T17:08:00Z</dcterms:created>
  <dc:creator>Cullen A. Duke</dc:creator>
  <dc:description/>
  <dc:language>en-CA</dc:language>
  <cp:lastModifiedBy>Cullen A. Duke</cp:lastModifiedBy>
  <cp:lastPrinted>2001-09-06T10:59:00Z</cp:lastPrinted>
  <dcterms:modified xsi:type="dcterms:W3CDTF">2001-09-06T13:29:00Z</dcterms:modified>
  <cp:revision>9</cp:revision>
  <dc:subject/>
  <dc:title>Better, Faster, Simpler Memo </dc:title>
</cp:coreProperties>
</file>