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1458"/>
        <w:gridCol w:w="4770"/>
        <w:gridCol w:w="720"/>
        <w:gridCol w:w="2617"/>
        <w:gridCol w:w="11"/>
      </w:tblGrid>
      <w:tr>
        <w:trPr>
          <w:trHeight w:val="1440" w:hRule="atLeast"/>
        </w:trPr>
        <w:tc>
          <w:tcPr>
            <w:tcW w:w="6948" w:type="dxa"/>
            <w:gridSpan w:val="3"/>
            <w:tcBorders/>
          </w:tcPr>
          <w:p>
            <w:pPr>
              <w:pStyle w:val="zzFormTitle"/>
              <w:rPr/>
            </w:pPr>
            <w:r>
              <w:rPr/>
              <w:t>MEMORANDUM</w:t>
            </w:r>
          </w:p>
        </w:tc>
        <w:tc>
          <w:tcPr>
            <w:tcW w:w="2628" w:type="dxa"/>
            <w:tcBorders/>
          </w:tcPr>
          <w:p>
            <w:pPr>
              <w:pStyle w:val="Normal"/>
              <w:rPr/>
            </w:pPr>
            <w:bookmarkStart w:id="0" w:name="bphLogo"/>
            <w:r>
              <w:rPr/>
              <w:drawing>
                <wp:inline distT="0" distB="0" distL="0" distR="0">
                  <wp:extent cx="1463040" cy="59436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25" t="-61" r="-25" b="-61"/>
                          <a:stretch>
                            <a:fillRect/>
                          </a:stretch>
                        </pic:blipFill>
                        <pic:spPr bwMode="auto">
                          <a:xfrm>
                            <a:off x="0" y="0"/>
                            <a:ext cx="1463040" cy="594360"/>
                          </a:xfrm>
                          <a:prstGeom prst="rect">
                            <a:avLst/>
                          </a:prstGeom>
                          <a:noFill/>
                        </pic:spPr>
                      </pic:pic>
                    </a:graphicData>
                  </a:graphic>
                </wp:inline>
              </w:drawing>
            </w:r>
            <w:bookmarkEnd w:id="0"/>
          </w:p>
        </w:tc>
      </w:tr>
      <w:tr>
        <w:trPr/>
        <w:tc>
          <w:tcPr>
            <w:tcW w:w="1458" w:type="dxa"/>
            <w:tcBorders/>
          </w:tcPr>
          <w:p>
            <w:pPr>
              <w:pStyle w:val="zzAddressTag"/>
              <w:spacing w:before="0" w:after="240"/>
              <w:rPr>
                <w:b/>
              </w:rPr>
            </w:pPr>
            <w:r>
              <w:rPr>
                <w:b/>
              </w:rPr>
              <w:t>TO:</w:t>
            </w:r>
          </w:p>
        </w:tc>
        <w:tc>
          <w:tcPr>
            <w:tcW w:w="4770" w:type="dxa"/>
            <w:tcBorders/>
          </w:tcPr>
          <w:p>
            <w:pPr>
              <w:pStyle w:val="zzResponseText"/>
              <w:spacing w:before="0" w:after="240"/>
              <w:rPr>
                <w:b/>
              </w:rPr>
            </w:pPr>
            <w:r>
              <w:rPr>
                <w:b/>
              </w:rPr>
              <w:t>Robert Williams</w:t>
            </w:r>
          </w:p>
        </w:tc>
        <w:tc>
          <w:tcPr>
            <w:tcW w:w="3348" w:type="dxa"/>
            <w:gridSpan w:val="2"/>
            <w:tcBorders/>
            <w:tcMar>
              <w:start w:w="0" w:type="dxa"/>
              <w:end w:w="0" w:type="dxa"/>
            </w:tcMar>
          </w:tcPr>
          <w:p>
            <w:pPr>
              <w:pStyle w:val="Normal"/>
              <w:snapToGrid w:val="false"/>
              <w:rPr>
                <w:b/>
              </w:rPr>
            </w:pPr>
            <w:r>
              <w:rPr>
                <w:b/>
              </w:rPr>
            </w:r>
          </w:p>
        </w:tc>
      </w:tr>
      <w:tr>
        <w:trPr/>
        <w:tc>
          <w:tcPr>
            <w:tcW w:w="1458" w:type="dxa"/>
            <w:tcBorders/>
          </w:tcPr>
          <w:p>
            <w:pPr>
              <w:pStyle w:val="zzAddressTag"/>
              <w:spacing w:before="0" w:after="240"/>
              <w:rPr>
                <w:b/>
              </w:rPr>
            </w:pPr>
            <w:r>
              <w:rPr>
                <w:b/>
              </w:rPr>
              <w:t>FROM:</w:t>
            </w:r>
          </w:p>
        </w:tc>
        <w:tc>
          <w:tcPr>
            <w:tcW w:w="4770" w:type="dxa"/>
            <w:tcBorders/>
          </w:tcPr>
          <w:p>
            <w:pPr>
              <w:pStyle w:val="zzResponseText"/>
              <w:spacing w:lineRule="exact" w:line="240" w:before="0" w:after="0"/>
              <w:rPr>
                <w:b/>
              </w:rPr>
            </w:pPr>
            <w:bookmarkStart w:id="1" w:name="Senders"/>
            <w:r>
              <w:rPr>
                <w:b/>
              </w:rPr>
              <w:t>Peter P. Meringolo</w:t>
            </w:r>
          </w:p>
          <w:p>
            <w:pPr>
              <w:pStyle w:val="zzResponseText"/>
              <w:spacing w:lineRule="exact" w:line="240" w:before="0" w:after="0"/>
              <w:rPr>
                <w:b/>
              </w:rPr>
            </w:pPr>
            <w:bookmarkStart w:id="2" w:name="Senders"/>
            <w:r>
              <w:rPr>
                <w:b/>
              </w:rPr>
              <w:t>Gary S. Fergus</w:t>
              <w:br/>
              <w:t>Michael E. Molland</w:t>
              <w:br/>
            </w:r>
            <w:bookmarkEnd w:id="2"/>
          </w:p>
        </w:tc>
        <w:tc>
          <w:tcPr>
            <w:tcW w:w="3348" w:type="dxa"/>
            <w:gridSpan w:val="2"/>
            <w:tcBorders/>
            <w:tcMar>
              <w:start w:w="0" w:type="dxa"/>
              <w:end w:w="0" w:type="dxa"/>
            </w:tcMar>
          </w:tcPr>
          <w:p>
            <w:pPr>
              <w:pStyle w:val="Normal"/>
              <w:snapToGrid w:val="false"/>
              <w:rPr>
                <w:b/>
              </w:rPr>
            </w:pPr>
            <w:r>
              <w:rPr>
                <w:b/>
              </w:rPr>
            </w:r>
          </w:p>
        </w:tc>
      </w:tr>
      <w:tr>
        <w:trPr/>
        <w:tc>
          <w:tcPr>
            <w:tcW w:w="1458" w:type="dxa"/>
            <w:tcBorders/>
          </w:tcPr>
          <w:p>
            <w:pPr>
              <w:pStyle w:val="zzAddressTag"/>
              <w:spacing w:before="0" w:after="240"/>
              <w:rPr>
                <w:b/>
              </w:rPr>
            </w:pPr>
            <w:r>
              <w:rPr>
                <w:b/>
              </w:rPr>
              <w:t>SUBJECT:</w:t>
            </w:r>
          </w:p>
        </w:tc>
        <w:tc>
          <w:tcPr>
            <w:tcW w:w="8107" w:type="dxa"/>
            <w:gridSpan w:val="3"/>
            <w:tcBorders/>
          </w:tcPr>
          <w:p>
            <w:pPr>
              <w:pStyle w:val="zzResponseText"/>
              <w:spacing w:before="0" w:after="240"/>
              <w:rPr>
                <w:b/>
              </w:rPr>
            </w:pPr>
            <w:bookmarkStart w:id="3" w:name="Subject"/>
            <w:r>
              <w:rPr>
                <w:b/>
              </w:rPr>
              <w:t>Subpoena From California Attorney General</w:t>
            </w:r>
            <w:bookmarkEnd w:id="3"/>
          </w:p>
        </w:tc>
      </w:tr>
      <w:tr>
        <w:trPr/>
        <w:tc>
          <w:tcPr>
            <w:tcW w:w="1458" w:type="dxa"/>
            <w:tcBorders>
              <w:bottom w:val="double" w:sz="4" w:space="0" w:color="000000"/>
            </w:tcBorders>
          </w:tcPr>
          <w:p>
            <w:pPr>
              <w:pStyle w:val="zzAddressTag"/>
              <w:spacing w:before="0" w:after="240"/>
              <w:rPr>
                <w:b/>
              </w:rPr>
            </w:pPr>
            <w:r>
              <w:rPr>
                <w:b/>
              </w:rPr>
              <w:t>DATE:</w:t>
            </w:r>
          </w:p>
        </w:tc>
        <w:tc>
          <w:tcPr>
            <w:tcW w:w="8107" w:type="dxa"/>
            <w:gridSpan w:val="3"/>
            <w:tcBorders>
              <w:bottom w:val="double" w:sz="4" w:space="0" w:color="000000"/>
            </w:tcBorders>
          </w:tcPr>
          <w:p>
            <w:pPr>
              <w:pStyle w:val="zzResponseText"/>
              <w:spacing w:before="0" w:after="240"/>
              <w:rPr>
                <w:b/>
              </w:rPr>
            </w:pPr>
            <w:bookmarkStart w:id="4" w:name="Date"/>
            <w:r>
              <w:rPr>
                <w:b/>
              </w:rPr>
              <w:t>June 3, 2001</w:t>
            </w:r>
            <w:bookmarkEnd w:id="4"/>
          </w:p>
        </w:tc>
      </w:tr>
    </w:tbl>
    <w:p>
      <w:pPr>
        <w:pStyle w:val="BodyText"/>
        <w:rPr>
          <w:b/>
        </w:rPr>
      </w:pPr>
      <w:r>
        <w:rPr>
          <w:b/>
        </w:rPr>
      </w:r>
      <w:bookmarkStart w:id="5" w:name="BodyStart"/>
      <w:bookmarkStart w:id="6" w:name="BodyStart"/>
      <w:bookmarkEnd w:id="6"/>
    </w:p>
    <w:p>
      <w:pPr>
        <w:pStyle w:val="BodyText"/>
        <w:rPr/>
      </w:pPr>
      <w:r>
        <w:rPr/>
        <w:t xml:space="preserve">On May 25, 2001, the California Attorney General (the “AG”) served a subpoena on Enron Energy Services, Inc. (“EES”).  The subpoena was served under the authority of California Government Code sections 11180-89.  These statutory sections are set forth verbatim below.  </w:t>
      </w:r>
    </w:p>
    <w:p>
      <w:pPr>
        <w:pStyle w:val="BodyText"/>
        <w:rPr/>
      </w:pPr>
      <w:r>
        <w:rPr/>
        <w:t xml:space="preserve">The purpose of this memorandum is to assist EES in deciding how to respond to the subpoena.  To that end, this memorandum is divided into four sections.  Section I provides a summary of the applicable law and procedures, in question and answer form.  Section II sets forth verbatim the Government Code sections.  Section III analyzes the applicable law in more detail.  Section IV briefly summarizes the options available to EES in responding to the subpoena. </w:t>
      </w:r>
    </w:p>
    <w:p>
      <w:pPr>
        <w:pStyle w:val="Heading1"/>
        <w:ind w:hanging="720" w:start="720" w:end="720"/>
        <w:rPr/>
      </w:pPr>
      <w:r>
        <w:rPr/>
        <w:t>Summary of procedures and Law Applicable to the AG Subpoena</w:t>
      </w:r>
    </w:p>
    <w:p>
      <w:pPr>
        <w:pStyle w:val="BodyText"/>
        <w:numPr>
          <w:ilvl w:val="0"/>
          <w:numId w:val="11"/>
        </w:numPr>
        <w:rPr/>
      </w:pPr>
      <w:r>
        <w:rPr>
          <w:u w:val="single"/>
        </w:rPr>
        <w:t>When was the subpoena served</w:t>
      </w:r>
      <w:r>
        <w:rPr/>
        <w:t>? May 25, 2001</w:t>
      </w:r>
    </w:p>
    <w:p>
      <w:pPr>
        <w:pStyle w:val="BodyText"/>
        <w:numPr>
          <w:ilvl w:val="0"/>
          <w:numId w:val="11"/>
        </w:numPr>
        <w:rPr/>
      </w:pPr>
      <w:r>
        <w:rPr>
          <w:u w:val="single"/>
        </w:rPr>
        <w:t>When does the subpoena demand a response</w:t>
      </w:r>
      <w:r>
        <w:rPr/>
        <w:t xml:space="preserve">?  </w:t>
      </w:r>
      <w:r>
        <w:rPr>
          <w:b/>
        </w:rPr>
        <w:t>June 25, 2001 at 10:00 am</w:t>
      </w:r>
    </w:p>
    <w:p>
      <w:pPr>
        <w:pStyle w:val="BodyText"/>
        <w:numPr>
          <w:ilvl w:val="0"/>
          <w:numId w:val="11"/>
        </w:numPr>
        <w:rPr/>
      </w:pPr>
      <w:r>
        <w:rPr>
          <w:u w:val="single"/>
        </w:rPr>
        <w:t>Under what statutory authority did the AG serve this subpoena</w:t>
      </w:r>
      <w:r>
        <w:rPr/>
        <w:t>? California Government Code Sections 11180-89</w:t>
      </w:r>
    </w:p>
    <w:p>
      <w:pPr>
        <w:pStyle w:val="BodyText"/>
        <w:numPr>
          <w:ilvl w:val="0"/>
          <w:numId w:val="11"/>
        </w:numPr>
        <w:rPr/>
      </w:pPr>
      <w:r>
        <w:rPr>
          <w:u w:val="single"/>
        </w:rPr>
        <w:t>When are written objections due under the Government Code</w:t>
      </w:r>
      <w:r>
        <w:rPr/>
        <w:t xml:space="preserve">?  None required.  A party need not respond, rather the AG has the burden to petition the California Superior Court to compel compliance.  </w:t>
      </w:r>
      <w:r>
        <w:rPr>
          <w:i/>
          <w:lang w:eastAsia="en-US"/>
        </w:rPr>
        <w:t xml:space="preserve">See </w:t>
      </w:r>
      <w:r>
        <w:rPr>
          <w:lang w:eastAsia="en-US"/>
        </w:rPr>
        <w:t xml:space="preserve">Government Code §§11187-88.  </w:t>
      </w:r>
      <w:r>
        <w:rPr>
          <w:i/>
          <w:lang w:eastAsia="en-US"/>
        </w:rPr>
        <w:t xml:space="preserve">See also Brovelli v. Superior Court, </w:t>
      </w:r>
      <w:r>
        <w:rPr>
          <w:lang w:eastAsia="en-US"/>
        </w:rPr>
        <w:t xml:space="preserve">56 Cal. 2d 524, 528-29 (1961).  </w:t>
      </w:r>
      <w:r>
        <w:rPr/>
        <w:t xml:space="preserve">Objections may be asserted at that time. </w:t>
      </w:r>
    </w:p>
    <w:p>
      <w:pPr>
        <w:pStyle w:val="BodyText"/>
        <w:numPr>
          <w:ilvl w:val="0"/>
          <w:numId w:val="11"/>
        </w:numPr>
        <w:rPr>
          <w:lang w:eastAsia="en-US"/>
        </w:rPr>
      </w:pPr>
      <w:r>
        <w:rPr>
          <w:u w:val="single"/>
        </w:rPr>
        <w:t>Will EES be held in contempt if it does not voluntarily comply</w:t>
      </w:r>
      <w:r>
        <w:rPr/>
        <w:t>? No.  I</w:t>
      </w:r>
      <w:r>
        <w:rPr>
          <w:lang w:eastAsia="en-US"/>
        </w:rPr>
        <w:t xml:space="preserve">f the AG petitions the court, and the court decides an order compelling compliance is appropriate, only upon failure to comply with the court’s order, “the person shall be dealt with as for contempt of court.”  </w:t>
      </w:r>
      <w:r>
        <w:rPr>
          <w:i/>
          <w:lang w:eastAsia="en-US"/>
        </w:rPr>
        <w:t xml:space="preserve">See </w:t>
      </w:r>
      <w:r>
        <w:rPr>
          <w:lang w:eastAsia="en-US"/>
        </w:rPr>
        <w:t xml:space="preserve">Government Code §11188.  </w:t>
      </w:r>
      <w:r>
        <w:rPr>
          <w:i/>
          <w:lang w:eastAsia="en-US"/>
        </w:rPr>
        <w:t xml:space="preserve">See People v. West Coast Shows, Inc., </w:t>
      </w:r>
      <w:r>
        <w:rPr>
          <w:lang w:eastAsia="en-US"/>
        </w:rPr>
        <w:t xml:space="preserve">10 Cal. App. 3d 462, 470. </w:t>
      </w:r>
    </w:p>
    <w:p>
      <w:pPr>
        <w:pStyle w:val="BodyText"/>
        <w:numPr>
          <w:ilvl w:val="0"/>
          <w:numId w:val="11"/>
        </w:numPr>
        <w:rPr>
          <w:lang w:eastAsia="en-US"/>
        </w:rPr>
      </w:pPr>
      <w:r>
        <w:rPr>
          <w:u w:val="single"/>
          <w:lang w:eastAsia="en-US"/>
        </w:rPr>
        <w:t>What is the scope of the subpoena power, under the Applicable Government Code?</w:t>
      </w:r>
      <w:r>
        <w:rPr>
          <w:lang w:eastAsia="en-US"/>
        </w:rPr>
        <w:t xml:space="preserve">  A subpoena under Government Code §11180 </w:t>
      </w:r>
      <w:r>
        <w:rPr>
          <w:i/>
          <w:lang w:eastAsia="en-US"/>
        </w:rPr>
        <w:t xml:space="preserve">et seq. </w:t>
      </w:r>
      <w:r>
        <w:rPr>
          <w:lang w:eastAsia="en-US"/>
        </w:rPr>
        <w:t xml:space="preserve">is regularly issued where: (a) the inquiry is one that the agency demanding production is authorized to make, (b) the demand is not “too indefinite,” and (c) the information sought is reasonably relevant.  </w:t>
      </w:r>
      <w:r>
        <w:rPr>
          <w:i/>
          <w:lang w:eastAsia="en-US"/>
        </w:rPr>
        <w:t xml:space="preserve">See Brovelli, </w:t>
      </w:r>
      <w:r>
        <w:rPr>
          <w:lang w:eastAsia="en-US"/>
        </w:rPr>
        <w:t xml:space="preserve">56 Cal. 2d at 529 (1961). </w:t>
      </w:r>
    </w:p>
    <w:p>
      <w:pPr>
        <w:pStyle w:val="BodyText"/>
        <w:numPr>
          <w:ilvl w:val="0"/>
          <w:numId w:val="11"/>
        </w:numPr>
        <w:rPr/>
      </w:pPr>
      <w:r>
        <w:rPr>
          <w:u w:val="single"/>
        </w:rPr>
        <w:t>Is the AG authorized to make such an investigation</w:t>
      </w:r>
      <w:r>
        <w:rPr/>
        <w:t xml:space="preserve">?  Probably.  The scope of the AG’s investigatory power is broad.  However, here the AG has not sufficiently defined the scope of the investigation in order to determine if the material sought is relevant.   </w:t>
      </w:r>
    </w:p>
    <w:p>
      <w:pPr>
        <w:pStyle w:val="BodyText"/>
        <w:numPr>
          <w:ilvl w:val="0"/>
          <w:numId w:val="11"/>
        </w:numPr>
        <w:rPr/>
      </w:pPr>
      <w:r>
        <w:rPr>
          <w:u w:val="single"/>
        </w:rPr>
        <w:t>Is EES required to produce documents in California that are located outside of California</w:t>
      </w:r>
      <w:r>
        <w:rPr/>
        <w:t>?  Close call.  The Government Code and case law interpreting are silent on this issue.  Case law dealing with the production of documents outside California under other statutes is split.  We can argue that the subpoena is limited to persons and documents located within the state of California.</w:t>
      </w:r>
    </w:p>
    <w:p>
      <w:pPr>
        <w:pStyle w:val="BodyText"/>
        <w:numPr>
          <w:ilvl w:val="0"/>
          <w:numId w:val="11"/>
        </w:numPr>
        <w:rPr/>
      </w:pPr>
      <w:r>
        <w:rPr>
          <w:u w:val="single"/>
        </w:rPr>
        <w:t>Is EES required to produce in the possession of its parents, subsidiaries, and affiliates</w:t>
      </w:r>
      <w:r>
        <w:rPr/>
        <w:t xml:space="preserve">?  No.  The Government Code and case law interpreting are silent on this issue.  Generally speaking, case law requires a corporation to produce documents in control only of a subsidiary it owns or wholly controls.  </w:t>
      </w:r>
    </w:p>
    <w:p>
      <w:pPr>
        <w:pStyle w:val="BodyText"/>
        <w:numPr>
          <w:ilvl w:val="0"/>
          <w:numId w:val="11"/>
        </w:numPr>
        <w:rPr/>
      </w:pPr>
      <w:r>
        <w:rPr>
          <w:u w:val="single"/>
        </w:rPr>
        <w:t>Is EES required to produce documents pursuant to the detailed and overreaching “Instructions</w:t>
      </w:r>
      <w:r>
        <w:rPr/>
        <w:t xml:space="preserve">?” Arguably not.  Although the Government Code and case law interpreting are silent on this issue, instructions that are “grossly excessive” and “obnoxious” can make a subpoena unduly burdensome.  </w:t>
      </w:r>
      <w:r>
        <w:rPr>
          <w:i/>
        </w:rPr>
        <w:t>See Calcor Space Facility, Inc. v. Superior Court</w:t>
      </w:r>
      <w:r>
        <w:rPr/>
        <w:t>, 53 Cal. App. 4th 216 (1997).</w:t>
      </w:r>
    </w:p>
    <w:p>
      <w:pPr>
        <w:pStyle w:val="Heading1"/>
        <w:rPr/>
      </w:pPr>
      <w:r>
        <w:rPr/>
        <w:t>Government Code Sections 11180-89</w:t>
      </w:r>
    </w:p>
    <w:p>
      <w:pPr>
        <w:pStyle w:val="BodyText"/>
        <w:rPr/>
      </w:pPr>
      <w:r>
        <w:rPr/>
        <w:t>Government Code sections 11180-89 provide, verbatim:</w:t>
      </w:r>
    </w:p>
    <w:p>
      <w:pPr>
        <w:pStyle w:val="BodyText"/>
        <w:spacing w:before="0" w:after="0"/>
        <w:ind w:start="720" w:end="0"/>
        <w:rPr/>
      </w:pPr>
      <w:r>
        <w:rPr/>
        <w:t>The head of each department may make investigations and prosecute actions concerning:</w:t>
      </w:r>
    </w:p>
    <w:p>
      <w:pPr>
        <w:pStyle w:val="BodyText"/>
        <w:spacing w:before="0" w:after="0"/>
        <w:ind w:start="720" w:end="0"/>
        <w:rPr/>
      </w:pPr>
      <w:r>
        <w:rPr/>
        <w:t>(a) All matters relating to the business activities and subjects under the jurisdiction of the department.</w:t>
      </w:r>
    </w:p>
    <w:p>
      <w:pPr>
        <w:pStyle w:val="BodyText"/>
        <w:spacing w:before="0" w:after="0"/>
        <w:ind w:start="720" w:end="0"/>
        <w:rPr/>
      </w:pPr>
      <w:r>
        <w:rPr/>
        <w:t xml:space="preserve">(b) Violations of any law or rule or order of the department. </w:t>
      </w:r>
    </w:p>
    <w:p>
      <w:pPr>
        <w:pStyle w:val="BodyText"/>
        <w:spacing w:before="0" w:after="0"/>
        <w:ind w:start="720" w:end="0"/>
        <w:rPr/>
      </w:pPr>
      <w:r>
        <w:rPr/>
        <w:t>(c) Such other matters as may be provided by law.  Cal. Gov. Code § 11180.</w:t>
      </w:r>
    </w:p>
    <w:p>
      <w:pPr>
        <w:pStyle w:val="BodyText"/>
        <w:spacing w:before="0" w:after="0"/>
        <w:ind w:start="720" w:end="0"/>
        <w:rPr/>
      </w:pPr>
      <w:r>
        <w:rPr/>
      </w:r>
    </w:p>
    <w:p>
      <w:pPr>
        <w:pStyle w:val="BodyText"/>
        <w:spacing w:before="0" w:after="0"/>
        <w:ind w:start="720" w:end="0"/>
        <w:rPr/>
      </w:pPr>
      <w:r>
        <w:rPr/>
        <w:t>At the request of a prosecuting attorney or the Attorney General, any state agency, bureau, or department may assist in conducting an investigation of any unlawful activity which involves matters within or reasonably related to the jurisdiction of such agency, bureau, or department.  Such an investigation may be made in cooperation with the prosecuting attorney or the Attorney General.  Cal. Gov. Code § 11180.5.</w:t>
      </w:r>
    </w:p>
    <w:p>
      <w:pPr>
        <w:pStyle w:val="BodyText"/>
        <w:spacing w:before="0" w:after="0"/>
        <w:ind w:start="720" w:end="0"/>
        <w:rPr/>
      </w:pPr>
      <w:r>
        <w:rPr/>
      </w:r>
    </w:p>
    <w:p>
      <w:pPr>
        <w:pStyle w:val="BodyText"/>
        <w:spacing w:before="0" w:after="0"/>
        <w:ind w:start="720" w:end="0"/>
        <w:rPr/>
      </w:pPr>
      <w:r>
        <w:rPr/>
        <w:t>In connection with these investigations and actions, the department head may:</w:t>
      </w:r>
    </w:p>
    <w:p>
      <w:pPr>
        <w:pStyle w:val="BodyText"/>
        <w:spacing w:before="0" w:after="0"/>
        <w:ind w:start="720" w:end="0"/>
        <w:rPr/>
      </w:pPr>
      <w:r>
        <w:rPr/>
        <w:t>(a) Inspect books and records.</w:t>
      </w:r>
    </w:p>
    <w:p>
      <w:pPr>
        <w:pStyle w:val="BodyText"/>
        <w:spacing w:before="0" w:after="0"/>
        <w:ind w:start="720" w:end="0"/>
        <w:rPr/>
      </w:pPr>
      <w:r>
        <w:rPr/>
        <w:t>(b) Hear complaints.</w:t>
      </w:r>
    </w:p>
    <w:p>
      <w:pPr>
        <w:pStyle w:val="BodyText"/>
        <w:spacing w:before="0" w:after="0"/>
        <w:ind w:start="720" w:end="0"/>
        <w:rPr/>
      </w:pPr>
      <w:r>
        <w:rPr/>
        <w:t>(c) Administer oaths.</w:t>
      </w:r>
    </w:p>
    <w:p>
      <w:pPr>
        <w:pStyle w:val="BodyText"/>
        <w:spacing w:before="0" w:after="0"/>
        <w:ind w:start="720" w:end="0"/>
        <w:rPr/>
      </w:pPr>
      <w:r>
        <w:rPr/>
        <w:t>(d) Certify to all official acts.</w:t>
      </w:r>
    </w:p>
    <w:p>
      <w:pPr>
        <w:pStyle w:val="BodyText"/>
        <w:spacing w:before="0" w:after="0"/>
        <w:ind w:start="720" w:end="0"/>
        <w:rPr/>
      </w:pPr>
      <w:r>
        <w:rPr/>
        <w:t>(e) Issue subpoenas for the attendance of witnesses and the production of papers, books, accounts, documents and testimony in any inquiry, investigation, hearing or proceeding pertinent or material thereto in any part of the state.</w:t>
      </w:r>
    </w:p>
    <w:p>
      <w:pPr>
        <w:pStyle w:val="BodyText"/>
        <w:spacing w:before="0" w:after="0"/>
        <w:ind w:start="720" w:end="0"/>
        <w:rPr/>
      </w:pPr>
      <w:r>
        <w:rPr/>
        <w:t>(f) Divulge evidence of unlawful activity discovered, pursuant to this article, from records or testimony not otherwise privileged or confidential, to the Attorney General or to any prosecuting attorney who has a responsibility for investigating the unlawful activity discovered, or to any governmental agency responsible for enforcing laws related to the unlawful activity discovered.  Cal. Gov. Code § 11181.</w:t>
      </w:r>
    </w:p>
    <w:p>
      <w:pPr>
        <w:pStyle w:val="BodyText"/>
        <w:spacing w:before="0" w:after="0"/>
        <w:ind w:start="720" w:end="0"/>
        <w:rPr/>
      </w:pPr>
      <w:r>
        <w:rPr/>
      </w:r>
    </w:p>
    <w:p>
      <w:pPr>
        <w:pStyle w:val="BodyText"/>
        <w:spacing w:before="0" w:after="0"/>
        <w:ind w:start="720" w:end="0"/>
        <w:rPr/>
      </w:pPr>
      <w:r>
        <w:rPr/>
        <w:t>The head of a department may delegate the powers conferred upon him by this article to any officer of the department he authorizes to conduct the investigation or hearing.  Cal. Gov. Code § 11182.</w:t>
      </w:r>
    </w:p>
    <w:p>
      <w:pPr>
        <w:pStyle w:val="BodyText"/>
        <w:spacing w:before="0" w:after="0"/>
        <w:ind w:start="720" w:end="0"/>
        <w:rPr/>
      </w:pPr>
      <w:r>
        <w:rPr/>
      </w:r>
    </w:p>
    <w:p>
      <w:pPr>
        <w:pStyle w:val="BodyText"/>
        <w:spacing w:before="0" w:after="0"/>
        <w:ind w:start="720" w:end="0"/>
        <w:rPr/>
      </w:pPr>
      <w:r>
        <w:rPr/>
        <w:t>Except in a report to the head of the department or when called upon to testify in any court or proceeding at law or as provided in subdivision (f) of Section 11181, any officer who divulges any information acquired by the officer from the private books, documents or papers of any person while acting or claiming to act under any authorization pursuant to this article, in respect to the confidential or private transactions, property or business of any person is guilty of a misdemeanor and disqualified from acting in any official capacity in the department. Cal. Gov. Code § 11183.</w:t>
      </w:r>
    </w:p>
    <w:p>
      <w:pPr>
        <w:pStyle w:val="BodyText"/>
        <w:spacing w:before="0" w:after="0"/>
        <w:ind w:start="720" w:end="0"/>
        <w:rPr/>
      </w:pPr>
      <w:r>
        <w:rPr/>
      </w:r>
    </w:p>
    <w:p>
      <w:pPr>
        <w:pStyle w:val="BodyText"/>
        <w:spacing w:before="0" w:after="0"/>
        <w:ind w:start="720" w:end="0"/>
        <w:rPr/>
      </w:pPr>
      <w:r>
        <w:rPr/>
        <w:t>In any hearing in any part of the State the process issued by the head of a department extends to all parts of the State and may be served by any person authorized to serve process of courts of record or by any person designated for that purpose by the head of the department.  The person serving any such process may receive such compensation as is allowed by the head of the department not to exceed the fees prescribed by law for similar service.  Such compensation shall be paid in the manner provided in this article for the payment of the fees of witnesses. Cal. Gov. Code § 11184.</w:t>
      </w:r>
    </w:p>
    <w:p>
      <w:pPr>
        <w:pStyle w:val="BodyText"/>
        <w:spacing w:before="0" w:after="0"/>
        <w:ind w:start="720" w:end="0"/>
        <w:rPr/>
      </w:pPr>
      <w:r>
        <w:rPr/>
      </w:r>
    </w:p>
    <w:p>
      <w:pPr>
        <w:pStyle w:val="BodyText"/>
        <w:spacing w:before="0" w:after="0"/>
        <w:ind w:start="720" w:end="0"/>
        <w:rPr/>
      </w:pPr>
      <w:r>
        <w:rPr/>
        <w:t xml:space="preserve">A person is not obliged to attend as a witness in any matter under this article at a place out of the county in which he resides, unless the distance is less than 50 miles from his place of residence.  Cal. Gov. Code § 11185.  </w:t>
      </w:r>
    </w:p>
    <w:p>
      <w:pPr>
        <w:pStyle w:val="BodyText"/>
        <w:spacing w:before="0" w:after="0"/>
        <w:ind w:start="720" w:end="0"/>
        <w:rPr/>
      </w:pPr>
      <w:r>
        <w:rPr/>
      </w:r>
    </w:p>
    <w:p>
      <w:pPr>
        <w:pStyle w:val="BodyText"/>
        <w:spacing w:before="0" w:after="0"/>
        <w:ind w:start="720" w:end="0"/>
        <w:rPr/>
      </w:pPr>
      <w:r>
        <w:rPr/>
        <w:t>The superior court in the county in which any hearing is held under the direction of the head of a department has jurisdiction to compel the attendance of witnesses, the giving of testimony and the production of papers, books, accounts and documents as required by any subpoena issued by the head.  Cal. Gov. Code § 11186.</w:t>
      </w:r>
    </w:p>
    <w:p>
      <w:pPr>
        <w:pStyle w:val="BodyText"/>
        <w:spacing w:before="0" w:after="0"/>
        <w:ind w:start="720" w:end="0"/>
        <w:rPr/>
      </w:pPr>
      <w:r>
        <w:rPr/>
      </w:r>
    </w:p>
    <w:p>
      <w:pPr>
        <w:pStyle w:val="BodyText"/>
        <w:spacing w:before="0" w:after="0"/>
        <w:ind w:start="720" w:end="0"/>
        <w:rPr/>
      </w:pPr>
      <w:r>
        <w:rPr/>
        <w:t xml:space="preserve">If any witness refuses to attend or testify or produce any papers required by such subpena the head of the department may petition the superior court in the county in which the hearing is pending for an order compelling the person to attend and testify or produce the papers required by the subpoena before the officer named in the subpoena. </w:t>
      </w:r>
    </w:p>
    <w:p>
      <w:pPr>
        <w:pStyle w:val="BodyText"/>
        <w:spacing w:before="0" w:after="0"/>
        <w:ind w:start="720" w:end="0"/>
        <w:rPr/>
      </w:pPr>
      <w:r>
        <w:rPr/>
        <w:t>The petition shall set forth that:</w:t>
      </w:r>
    </w:p>
    <w:p>
      <w:pPr>
        <w:pStyle w:val="BodyText"/>
        <w:spacing w:before="0" w:after="0"/>
        <w:ind w:start="720" w:end="0"/>
        <w:rPr/>
      </w:pPr>
      <w:r>
        <w:rPr/>
        <w:t>(a) Due notice of the time and place of attendance of the person or the production of the papers has been given.</w:t>
      </w:r>
    </w:p>
    <w:p>
      <w:pPr>
        <w:pStyle w:val="BodyText"/>
        <w:spacing w:before="0" w:after="0"/>
        <w:ind w:start="720" w:end="0"/>
        <w:rPr/>
      </w:pPr>
      <w:r>
        <w:rPr/>
        <w:t>(b) The person has been subpoenaed in the manner prescribed in this article.</w:t>
      </w:r>
    </w:p>
    <w:p>
      <w:pPr>
        <w:pStyle w:val="BodyText"/>
        <w:spacing w:before="0" w:after="0"/>
        <w:ind w:start="720" w:end="0"/>
        <w:rPr/>
      </w:pPr>
      <w:r>
        <w:rPr/>
        <w:t xml:space="preserve">(c) He has failed and refused to attend or produce the papers required by subpoena before the officer in the cause or proceeding named in the subpoena, or has refused to answer questions propounded to him in the course of the investigation or hearing.  Cal. Gov. Code § 11187.  </w:t>
      </w:r>
    </w:p>
    <w:p>
      <w:pPr>
        <w:pStyle w:val="BodyText"/>
        <w:spacing w:before="0" w:after="0"/>
        <w:ind w:start="720" w:end="0"/>
        <w:rPr/>
      </w:pPr>
      <w:r>
        <w:rPr/>
      </w:r>
    </w:p>
    <w:p>
      <w:pPr>
        <w:pStyle w:val="BodyText"/>
        <w:spacing w:before="0" w:after="0"/>
        <w:ind w:start="720" w:end="0"/>
        <w:rPr/>
      </w:pPr>
      <w:r>
        <w:rPr/>
        <w:t>Upon the filing of the petition the court shall enter an order directing the person to appear before the court at a specified time and place and then and there show cause why he has not attended or testified or produced the papers as required.  A copy of the order shall be served upon him.  If it appears to the court that the subpoena was regularly issued by the head of the department, the court shall enter an order that the person appear before the officer named in the subpoena at the time and place fixed in the order and testify or produce the required papers.  Upon failure to obey the order, the person shall be dealt with as for contempt of court.  Cal. Gov. Code § 11188.</w:t>
      </w:r>
    </w:p>
    <w:p>
      <w:pPr>
        <w:pStyle w:val="BodyText"/>
        <w:spacing w:before="0" w:after="0"/>
        <w:ind w:start="720" w:end="0"/>
        <w:rPr/>
      </w:pPr>
      <w:r>
        <w:rPr/>
      </w:r>
    </w:p>
    <w:p>
      <w:pPr>
        <w:pStyle w:val="BodyText"/>
        <w:spacing w:before="0" w:after="0"/>
        <w:ind w:start="720" w:end="0"/>
        <w:rPr/>
      </w:pPr>
      <w:r>
        <w:rPr/>
        <w:t>In any matter pending before a department head, the department head may cause the deposition of persons residing within or without the state to be taken by causing a petition to be filed in the Superior Court in the County of Sacramento reciting the nature of the matter pending, the name and residence of the person whose testimony is desired, and asking that an order be made requiring the person to appear and testify before an officer named in the petition for that purpose.  Upon the filing of the petition the court may make an order requiring the person to appear and testify in the manner prescribed by law for like depositions in civil actions in the superior courts of this state under Article 3 (commencing with Section 2016) of Chapter 3 of Title 4 of Part 4 of the Code of Civil Procedure.  In the same manner the superior courts may compel the attendance of persons as witnesses, and the production of papers, books, accounts, and documents, under Chapter 2 (commencing with Section 1985) of Title 3 of Part 4 of the Code of Civil Procedure, and may punish for contempt.  Cal. Gov. Code § 11189.</w:t>
      </w:r>
    </w:p>
    <w:p>
      <w:pPr>
        <w:pStyle w:val="Normal"/>
        <w:rPr/>
      </w:pPr>
      <w:r>
        <w:rPr/>
      </w:r>
    </w:p>
    <w:p>
      <w:pPr>
        <w:pStyle w:val="Heading1"/>
        <w:rPr/>
      </w:pPr>
      <w:r>
        <w:rPr/>
        <w:t>Analysis of law governing the ag Subpoena</w:t>
      </w:r>
    </w:p>
    <w:p>
      <w:pPr>
        <w:pStyle w:val="Heading2"/>
        <w:rPr>
          <w:b/>
        </w:rPr>
      </w:pPr>
      <w:r>
        <w:rPr>
          <w:b/>
        </w:rPr>
        <w:t>EES Will Not Be Held In Contempt For Failing to Respond.</w:t>
      </w:r>
    </w:p>
    <w:p>
      <w:pPr>
        <w:pStyle w:val="BodyText"/>
        <w:rPr/>
      </w:pPr>
      <w:r>
        <w:rPr/>
        <w:t xml:space="preserve">A party need not respond to a subpoena served pursuant to California Government Code sections 11180-11189.  </w:t>
      </w:r>
      <w:r>
        <w:rPr>
          <w:i/>
        </w:rPr>
        <w:t>See Brovelli v. Superior Court</w:t>
      </w:r>
      <w:r>
        <w:rPr/>
        <w:t>, 56 Cal. 2d 524, 528-29 (1961).  Rather, if a witness refuses to attend or produce papers in response to a subpoena, the attorney general may petition the superior court for an order compelling response.  See Government Code §11187.  The court shall enter an order directing the person to appear before the court to show cause why he has not attended or testified or produced documents.  See Government Code §11188.  “If it appears to the court that the subpoena was regularly issued,” the court shall enter an order compelling compliance.  See Government Code §11188</w:t>
      </w:r>
      <w:r>
        <w:rPr>
          <w:lang w:eastAsia="en-US"/>
        </w:rPr>
        <w:t xml:space="preserve">.  </w:t>
      </w:r>
    </w:p>
    <w:p>
      <w:pPr>
        <w:pStyle w:val="BodyText"/>
        <w:rPr/>
      </w:pPr>
      <w:r>
        <w:rPr>
          <w:lang w:eastAsia="en-US"/>
        </w:rPr>
        <w:t xml:space="preserve">A party will not be held in contempt for refusing to respond to the subpoena.  Only upon failure to comply with the court’s order, “the person shall be dealt with as for contempt of court.”  </w:t>
      </w:r>
      <w:r>
        <w:rPr>
          <w:i/>
          <w:lang w:eastAsia="en-US"/>
        </w:rPr>
        <w:t xml:space="preserve">See </w:t>
      </w:r>
      <w:r>
        <w:rPr>
          <w:lang w:eastAsia="en-US"/>
        </w:rPr>
        <w:t xml:space="preserve">Government Code §11188.  </w:t>
      </w:r>
      <w:r>
        <w:rPr>
          <w:i/>
          <w:lang w:eastAsia="en-US"/>
        </w:rPr>
        <w:t xml:space="preserve">See People v. West Coast Shows, Inc., </w:t>
      </w:r>
      <w:r>
        <w:rPr>
          <w:lang w:eastAsia="en-US"/>
        </w:rPr>
        <w:t xml:space="preserve">10 Cal. App. 3d 462, 470.  In other words, “the Government Code provides for an opportunity for adjudication of all claimed constitutional and legal rights </w:t>
      </w:r>
      <w:r>
        <w:rPr>
          <w:u w:val="single"/>
          <w:lang w:eastAsia="en-US"/>
        </w:rPr>
        <w:t>before</w:t>
      </w:r>
      <w:r>
        <w:rPr>
          <w:lang w:eastAsia="en-US"/>
        </w:rPr>
        <w:t xml:space="preserve"> one is required to obey the command of a subpoena duces tecum issued for investigative purposes.”  </w:t>
      </w:r>
      <w:r>
        <w:rPr>
          <w:i/>
          <w:lang w:eastAsia="en-US"/>
        </w:rPr>
        <w:t>Id.</w:t>
      </w:r>
      <w:r>
        <w:rPr>
          <w:lang w:eastAsia="en-US"/>
        </w:rPr>
        <w:t xml:space="preserve"> (emphasis added).</w:t>
      </w:r>
    </w:p>
    <w:p>
      <w:pPr>
        <w:pStyle w:val="Heading2"/>
        <w:rPr>
          <w:b/>
          <w:lang w:eastAsia="en-US"/>
        </w:rPr>
      </w:pPr>
      <w:r>
        <w:rPr>
          <w:b/>
          <w:lang w:eastAsia="en-US"/>
        </w:rPr>
        <w:t>The Scope of a Subpoena Under Government Code Section 11180</w:t>
      </w:r>
      <w:r>
        <w:rPr>
          <w:b/>
          <w:i/>
          <w:lang w:eastAsia="en-US"/>
        </w:rPr>
        <w:t>, et seq</w:t>
      </w:r>
      <w:r>
        <w:rPr>
          <w:b/>
          <w:lang w:eastAsia="en-US"/>
        </w:rPr>
        <w:t>. is Broad.</w:t>
      </w:r>
    </w:p>
    <w:p>
      <w:pPr>
        <w:pStyle w:val="BodyText"/>
        <w:rPr/>
      </w:pPr>
      <w:r>
        <w:rPr>
          <w:lang w:eastAsia="en-US"/>
        </w:rPr>
        <w:t xml:space="preserve">A subpoena under Government Code §11180, </w:t>
      </w:r>
      <w:r>
        <w:rPr>
          <w:i/>
          <w:lang w:eastAsia="en-US"/>
        </w:rPr>
        <w:t xml:space="preserve">et seq. </w:t>
      </w:r>
      <w:r>
        <w:rPr>
          <w:lang w:eastAsia="en-US"/>
        </w:rPr>
        <w:t xml:space="preserve">is regularly issued where: (a) the inquiry is one that the agency demanding production is authorized to make, (b) the demand is not “too indefinite,” and (c) the information sought is reasonable relevant.  </w:t>
      </w:r>
      <w:r>
        <w:rPr>
          <w:i/>
          <w:lang w:eastAsia="en-US"/>
        </w:rPr>
        <w:t xml:space="preserve">See Brovelli, </w:t>
      </w:r>
      <w:r>
        <w:rPr>
          <w:lang w:eastAsia="en-US"/>
        </w:rPr>
        <w:t xml:space="preserve">56 Cal. 2d at 529 (1961). </w:t>
      </w:r>
    </w:p>
    <w:p>
      <w:pPr>
        <w:pStyle w:val="BodyText"/>
        <w:rPr/>
      </w:pPr>
      <w:r>
        <w:rPr>
          <w:lang w:eastAsia="en-US"/>
        </w:rPr>
        <w:t xml:space="preserve">The attorney general’s investigative powers are broad.  </w:t>
      </w:r>
      <w:r>
        <w:rPr>
          <w:i/>
          <w:lang w:eastAsia="en-US"/>
        </w:rPr>
        <w:t xml:space="preserve">See Younger v. Jensen, </w:t>
      </w:r>
      <w:r>
        <w:rPr>
          <w:lang w:eastAsia="en-US"/>
        </w:rPr>
        <w:t xml:space="preserve">26 Cal. 3d 397 (1980).  In </w:t>
      </w:r>
      <w:r>
        <w:rPr>
          <w:i/>
          <w:lang w:eastAsia="en-US"/>
        </w:rPr>
        <w:t>Younger</w:t>
      </w:r>
      <w:r>
        <w:rPr>
          <w:lang w:eastAsia="en-US"/>
        </w:rPr>
        <w:t xml:space="preserve">, the attorney general instituted an investigation of possible violations of state or federal antitrust laws arising from the ownership, production and sale of gas from Alaska.  The attorney general issued subpoenas and the parties refused to produce the information.  The attorney general filed petitions for compliance, which the superior court denied.  The parties objected to the subpoenas on the grounds that the investigation was unauthorized and was preempted.  The Supreme Court reversed.  The Court held that the attorney general’s powers extend to “matters relating to” antitrust violations, which “does not depend on any predetermination that violations actually or even probably have taken place.”  </w:t>
      </w:r>
      <w:r>
        <w:rPr>
          <w:i/>
          <w:lang w:eastAsia="en-US"/>
        </w:rPr>
        <w:t xml:space="preserve">Id. </w:t>
      </w:r>
      <w:r>
        <w:rPr>
          <w:lang w:eastAsia="en-US"/>
        </w:rPr>
        <w:t xml:space="preserve">at 404-05.  According to the Court, the investigations “could be undertaken to inquire not only into the existence of violations but also into questions of California’s jurisdiction over them.”  </w:t>
      </w:r>
      <w:r>
        <w:rPr>
          <w:i/>
          <w:lang w:eastAsia="en-US"/>
        </w:rPr>
        <w:t>Id.</w:t>
      </w:r>
      <w:r>
        <w:rPr>
          <w:lang w:eastAsia="en-US"/>
        </w:rPr>
        <w:t xml:space="preserve"> at 405.  Even though this investigation dealt with the import of gas from another state, the Court held that “while conducting the investigation the Attorney General properly may be concerned not only with the possibilities of prosecution in California courts but also with the formulation of enforcement policy in cooperation with federal authorities and with recommendations for remedial administration rulings and legislation.”  </w:t>
      </w:r>
      <w:r>
        <w:rPr>
          <w:i/>
          <w:lang w:eastAsia="en-US"/>
        </w:rPr>
        <w:t xml:space="preserve">Id. </w:t>
      </w:r>
      <w:r>
        <w:rPr>
          <w:lang w:eastAsia="en-US"/>
        </w:rPr>
        <w:t xml:space="preserve">at 406.  The Court also held that the Natural Gas Act did not preempt the investigation.  </w:t>
      </w:r>
      <w:r>
        <w:rPr>
          <w:i/>
          <w:lang w:eastAsia="en-US"/>
        </w:rPr>
        <w:t xml:space="preserve">Id. </w:t>
      </w:r>
      <w:r>
        <w:rPr>
          <w:lang w:eastAsia="en-US"/>
        </w:rPr>
        <w:t>at 406-09.</w:t>
      </w:r>
    </w:p>
    <w:p>
      <w:pPr>
        <w:pStyle w:val="Normal"/>
        <w:rPr/>
      </w:pPr>
      <w:r>
        <w:rPr>
          <w:i/>
          <w:lang w:eastAsia="en-US"/>
        </w:rPr>
        <w:t>Lewis v. Younger</w:t>
      </w:r>
      <w:r>
        <w:rPr>
          <w:lang w:eastAsia="en-US"/>
        </w:rPr>
        <w:t>, 653 F.2d 1258 (9</w:t>
      </w:r>
      <w:r>
        <w:rPr>
          <w:vertAlign w:val="superscript"/>
          <w:lang w:eastAsia="en-US"/>
        </w:rPr>
        <w:t>th</w:t>
      </w:r>
      <w:r>
        <w:rPr>
          <w:lang w:eastAsia="en-US"/>
        </w:rPr>
        <w:t xml:space="preserve"> Cir. 1980) involved the same investigation</w:t>
      </w:r>
      <w:r>
        <w:rPr>
          <w:i/>
          <w:lang w:eastAsia="en-US"/>
        </w:rPr>
        <w:t xml:space="preserve">.  </w:t>
      </w:r>
      <w:r>
        <w:rPr>
          <w:lang w:eastAsia="en-US"/>
        </w:rPr>
        <w:t xml:space="preserve">In </w:t>
      </w:r>
      <w:r>
        <w:rPr>
          <w:i/>
          <w:lang w:eastAsia="en-US"/>
        </w:rPr>
        <w:t>Lewis</w:t>
      </w:r>
      <w:r>
        <w:rPr>
          <w:lang w:eastAsia="en-US"/>
        </w:rPr>
        <w:t xml:space="preserve">, the district court issued an injunction enjoining the attorney general from investigating possible antitrust violations by ARCO in connection with the marketing of Alaska natural gas in California.  The district court found that the Natural Gas Act and the Alaska Natural Gas Transportation Act preempted California antitrust laws.  The Ninth Circuit reversed, relying in part on </w:t>
      </w:r>
      <w:r>
        <w:rPr>
          <w:i/>
          <w:lang w:eastAsia="en-US"/>
        </w:rPr>
        <w:t>Younger,</w:t>
      </w:r>
      <w:r>
        <w:rPr>
          <w:lang w:eastAsia="en-US"/>
        </w:rPr>
        <w:t xml:space="preserve"> holding that a ruling on preemption was premature.  Assuming that California law was preempted, the Ninth Circuit held that </w:t>
      </w:r>
    </w:p>
    <w:p>
      <w:pPr>
        <w:pStyle w:val="Normal"/>
        <w:ind w:firstLine="360" w:end="0"/>
        <w:rPr>
          <w:lang w:eastAsia="en-US"/>
        </w:rPr>
      </w:pPr>
      <w:r>
        <w:rPr>
          <w:lang w:eastAsia="en-US"/>
        </w:rPr>
      </w:r>
    </w:p>
    <w:p>
      <w:pPr>
        <w:pStyle w:val="Normal"/>
        <w:ind w:start="720" w:end="720"/>
        <w:rPr>
          <w:lang w:eastAsia="en-US"/>
        </w:rPr>
      </w:pPr>
      <w:r>
        <w:rPr>
          <w:lang w:eastAsia="en-US"/>
        </w:rPr>
        <w:t>appellees can properly litigate [preemption] if and when the Attorney General attempts to enforce the substantive requirements of California law against them after completion of his investigation.  Litigation at that time would avoid unnecessary federal interference with the proper activities of state executive officials.  The lower court confused the Attorney General’s power to obtain information with the power to regulate the distribution of Alaskan natural gas in California.</w:t>
      </w:r>
    </w:p>
    <w:p>
      <w:pPr>
        <w:pStyle w:val="Normal"/>
        <w:ind w:start="720" w:end="720"/>
        <w:rPr>
          <w:lang w:eastAsia="en-US"/>
        </w:rPr>
      </w:pPr>
      <w:r>
        <w:rPr>
          <w:lang w:eastAsia="en-US"/>
        </w:rPr>
      </w:r>
    </w:p>
    <w:p>
      <w:pPr>
        <w:pStyle w:val="BodyText"/>
        <w:rPr/>
      </w:pPr>
      <w:r>
        <w:rPr>
          <w:i/>
          <w:lang w:eastAsia="en-US"/>
        </w:rPr>
        <w:t xml:space="preserve">Id. </w:t>
      </w:r>
      <w:r>
        <w:rPr>
          <w:lang w:eastAsia="en-US"/>
        </w:rPr>
        <w:t xml:space="preserve">at 1260 (citations omitted).  The Court did not reach the question of Cartwright Act preemption, although it did state that “the district court’s premise would be sustainable only if it were shown that Congress had decreed in this subject area a cordon sanitaire which protected entities such as ARCO even from state administrative inquires.”  </w:t>
      </w:r>
      <w:r>
        <w:rPr>
          <w:i/>
          <w:lang w:eastAsia="en-US"/>
        </w:rPr>
        <w:t xml:space="preserve">Id. </w:t>
      </w:r>
      <w:r>
        <w:rPr>
          <w:lang w:eastAsia="en-US"/>
        </w:rPr>
        <w:t>at 1259.</w:t>
      </w:r>
    </w:p>
    <w:p>
      <w:pPr>
        <w:pStyle w:val="Heading2"/>
        <w:rPr>
          <w:b/>
          <w:lang w:eastAsia="en-US"/>
        </w:rPr>
      </w:pPr>
      <w:r>
        <w:rPr>
          <w:b/>
          <w:lang w:eastAsia="en-US"/>
        </w:rPr>
        <w:t>Objections to the Subpoena</w:t>
      </w:r>
    </w:p>
    <w:p>
      <w:pPr>
        <w:pStyle w:val="BodyText"/>
        <w:rPr/>
      </w:pPr>
      <w:r>
        <w:rPr>
          <w:lang w:eastAsia="en-US"/>
        </w:rPr>
        <w:t>Under the standards outlined above, it seems likely that a court will find the subpoena to be within the AG’s investigatory powers.  That said, EES can raise objections</w:t>
      </w:r>
      <w:r>
        <w:rPr>
          <w:rFonts w:cs="Arial" w:ascii="Arial" w:hAnsi="Arial"/>
          <w:color w:val="000000"/>
          <w:lang w:eastAsia="en-US"/>
        </w:rPr>
        <w:t xml:space="preserve">, </w:t>
      </w:r>
      <w:r>
        <w:rPr>
          <w:color w:val="000000"/>
          <w:lang w:eastAsia="en-US"/>
        </w:rPr>
        <w:t xml:space="preserve">if the AG applies to the superior court for an order of  compliance, </w:t>
      </w:r>
      <w:r>
        <w:rPr>
          <w:lang w:eastAsia="en-US"/>
        </w:rPr>
        <w:t>which may persuade the court to limit the scope of the subpoena.</w:t>
      </w:r>
    </w:p>
    <w:p>
      <w:pPr>
        <w:pStyle w:val="Heading3"/>
        <w:ind w:hanging="0" w:start="0"/>
        <w:rPr>
          <w:b/>
          <w:lang w:eastAsia="en-US"/>
        </w:rPr>
      </w:pPr>
      <w:r>
        <w:rPr>
          <w:b/>
          <w:lang w:eastAsia="en-US"/>
        </w:rPr>
        <w:t>EES Cannot Properly Determine Relevance.</w:t>
      </w:r>
    </w:p>
    <w:p>
      <w:pPr>
        <w:pStyle w:val="BodyText"/>
        <w:rPr/>
      </w:pPr>
      <w:r>
        <w:rPr/>
        <w:t xml:space="preserve">A subpoena is proper where it is </w:t>
      </w:r>
      <w:r>
        <w:rPr>
          <w:lang w:eastAsia="en-US"/>
        </w:rPr>
        <w:t xml:space="preserve">the inquiry is one that the agency demanding production is authorized to make, and the information sought is reasonable relevant to that inquiry.  </w:t>
      </w:r>
      <w:r>
        <w:rPr>
          <w:i/>
          <w:lang w:eastAsia="en-US"/>
        </w:rPr>
        <w:t xml:space="preserve">See Brovelli, </w:t>
      </w:r>
      <w:r>
        <w:rPr>
          <w:lang w:eastAsia="en-US"/>
        </w:rPr>
        <w:t>56 Cal. 2d at 529 (1961).  Here, the AG states that it seeks information related to an investigations of “possible violations of law in the generation, marketing, transmission, and pricing of electricity in California.”  This vague statement provides little, if any, guidance in determining whether the information sought from EES is relevant.  EES should demand a more detailed statement about the AG’s investigation.</w:t>
      </w:r>
    </w:p>
    <w:p>
      <w:pPr>
        <w:pStyle w:val="Heading3"/>
        <w:ind w:hanging="0" w:start="0"/>
        <w:rPr>
          <w:b/>
        </w:rPr>
      </w:pPr>
      <w:r>
        <w:rPr>
          <w:b/>
        </w:rPr>
        <w:t>EES Is Not Required to Produce Documents in the Possession of its Parents, Subsidiaries, and Affiliates?</w:t>
      </w:r>
    </w:p>
    <w:p>
      <w:pPr>
        <w:pStyle w:val="BodyText"/>
        <w:rPr/>
      </w:pPr>
      <w:r>
        <w:rPr/>
        <w:t xml:space="preserve">The subpoena requires EES to produce all documents in the possession of “any parent corporation, your predecessors, sucessors, and other organizational units of any kind, including wholly owend subsidiaries, successors, assignees, and affiliates, and present and former owners, officers, directors, employees, agents, vendors, consultants, representatives or other persons acting on your behalf.”  This request is improper.  Although the Government Code and case law interpreting are silent on this issue, case law requires a corporation to produce documents only in control of a subsidiary it owns or wholly controls.  </w:t>
      </w:r>
      <w:r>
        <w:rPr>
          <w:i/>
        </w:rPr>
        <w:t xml:space="preserve">See, e.g., United States v. International Union of Petroleum and Industrial Workers, </w:t>
      </w:r>
      <w:r>
        <w:rPr/>
        <w:t xml:space="preserve">870 F.2d 1450 (9th Cir. 1989).  </w:t>
      </w:r>
    </w:p>
    <w:p>
      <w:pPr>
        <w:pStyle w:val="Heading3"/>
        <w:ind w:hanging="0" w:start="0"/>
        <w:rPr>
          <w:b/>
        </w:rPr>
      </w:pPr>
      <w:r>
        <w:rPr>
          <w:b/>
        </w:rPr>
        <w:t>EES May Not Be Required to Produce Documents Located Outside of California</w:t>
      </w:r>
    </w:p>
    <w:p>
      <w:pPr>
        <w:pStyle w:val="BodyText"/>
        <w:rPr/>
      </w:pPr>
      <w:r>
        <w:rPr/>
        <w:t xml:space="preserve">The subpoena requires EES to produce the custodian of records for an oral examination or to prepare an affidavit of authenticity.  The Government Code and case law interpreting are silent about the territorial reach of the subpoena.  Under California civil discovery rules, the law is split.  One court has held that a subpoena duces tecum that requires the attendance of a non-California custodian of record is invalid.  </w:t>
      </w:r>
      <w:r>
        <w:rPr>
          <w:i/>
        </w:rPr>
        <w:t xml:space="preserve">See Amoco Chemical Company v. Certain Underwriters at Lloyd’s of London, </w:t>
      </w:r>
      <w:r>
        <w:rPr/>
        <w:t xml:space="preserve">34 Cal . App. 4th 554 (1995).  An earlier case held that “where the documents sought are in the presence of a party, over whom the trial court has jurisdiction, that party may be required, by a service on it in California, to produce documents wherever situated.  </w:t>
      </w:r>
      <w:r>
        <w:rPr>
          <w:i/>
        </w:rPr>
        <w:t xml:space="preserve">See Boal v. Price Waterhouse &amp; Co., </w:t>
      </w:r>
      <w:r>
        <w:rPr/>
        <w:t xml:space="preserve">165 Cal. App. 3d 806 (1985).  </w:t>
      </w:r>
    </w:p>
    <w:p>
      <w:pPr>
        <w:pStyle w:val="Heading3"/>
        <w:ind w:hanging="0" w:start="0"/>
        <w:rPr>
          <w:b/>
        </w:rPr>
      </w:pPr>
      <w:r>
        <w:rPr>
          <w:b/>
        </w:rPr>
        <w:t>The “Instructions” Make the Subpoena Unduly Burdensome</w:t>
      </w:r>
    </w:p>
    <w:p>
      <w:pPr>
        <w:pStyle w:val="BodyText"/>
        <w:rPr/>
      </w:pPr>
      <w:r>
        <w:rPr/>
        <w:t xml:space="preserve">The subpoena includes over three pages of “Instructions.”  The Government Code and case law interpreting do not authorize the AG to make such demands.  Instructions that are “grossly excessive” and “obnoxious” can make a subpoena unduly burdensome.  </w:t>
      </w:r>
      <w:r>
        <w:rPr>
          <w:i/>
        </w:rPr>
        <w:t>See Calcor Space Facility, Inc. v. Superior Court</w:t>
      </w:r>
      <w:r>
        <w:rPr/>
        <w:t>, 53 Cal. App. 4th 216 (1997).</w:t>
      </w:r>
    </w:p>
    <w:p>
      <w:pPr>
        <w:pStyle w:val="Heading1"/>
        <w:rPr>
          <w:lang w:eastAsia="en-US"/>
        </w:rPr>
      </w:pPr>
      <w:r>
        <w:rPr>
          <w:lang w:eastAsia="en-US"/>
        </w:rPr>
        <w:t>Discussion points for potential Options</w:t>
      </w:r>
    </w:p>
    <w:p>
      <w:pPr>
        <w:pStyle w:val="Heading2"/>
        <w:numPr>
          <w:ilvl w:val="0"/>
          <w:numId w:val="0"/>
        </w:numPr>
        <w:ind w:hanging="0" w:start="720" w:end="720"/>
        <w:rPr>
          <w:b/>
        </w:rPr>
      </w:pPr>
      <w:r>
        <w:rPr>
          <w:b/>
        </w:rPr>
        <w:t>A.</w:t>
        <w:tab/>
        <w:t>Sit Back and Wait</w:t>
      </w:r>
    </w:p>
    <w:p>
      <w:pPr>
        <w:pStyle w:val="Normal"/>
        <w:ind w:start="1440" w:end="0"/>
        <w:rPr/>
      </w:pPr>
      <w:r>
        <w:rPr/>
        <w:t>Under this option, Enron takes the view that it is not going to get a fair hearing in the state of California and it should not voluntarily cooperate in any proceeding connected with the Attorney General, Bill Lockyer.  The most that Enron does under this option is to object to the subpoena.</w:t>
      </w:r>
    </w:p>
    <w:p>
      <w:pPr>
        <w:pStyle w:val="Normal"/>
        <w:ind w:start="1440" w:end="0"/>
        <w:rPr/>
      </w:pPr>
      <w:r>
        <w:rPr/>
        <w:t xml:space="preserve"> </w:t>
      </w:r>
    </w:p>
    <w:p>
      <w:pPr>
        <w:pStyle w:val="Heading2"/>
        <w:numPr>
          <w:ilvl w:val="0"/>
          <w:numId w:val="0"/>
        </w:numPr>
        <w:ind w:hanging="720" w:start="1440" w:end="720"/>
        <w:rPr>
          <w:b/>
        </w:rPr>
      </w:pPr>
      <w:r>
        <w:rPr>
          <w:b/>
        </w:rPr>
        <w:t>B.</w:t>
        <w:tab/>
        <w:t>Wait Until the AG Files in California State Court for an Order Enforcing the Subpoena, Remove the Case and Designate as a Tag-Along Case in the MDL Proceedings</w:t>
      </w:r>
    </w:p>
    <w:p>
      <w:pPr>
        <w:pStyle w:val="Normal"/>
        <w:ind w:hanging="720" w:start="2160" w:end="0"/>
        <w:rPr/>
      </w:pPr>
      <w:r>
        <w:rPr/>
        <w:t>1.</w:t>
        <w:tab/>
        <w:t>The AG’s Investigation interferes with the Primary Jurisdiction of FERC to Regulate Whole Sale Electrical Markets.</w:t>
      </w:r>
    </w:p>
    <w:p>
      <w:pPr>
        <w:pStyle w:val="Normal"/>
        <w:ind w:hanging="720" w:start="2160" w:end="0"/>
        <w:rPr/>
      </w:pPr>
      <w:r>
        <w:rPr/>
      </w:r>
    </w:p>
    <w:p>
      <w:pPr>
        <w:pStyle w:val="Normal"/>
        <w:ind w:hanging="720" w:start="2160" w:end="0"/>
        <w:rPr/>
      </w:pPr>
      <w:r>
        <w:rPr/>
        <w:tab/>
        <w:t xml:space="preserve">While EES is primarily in the retail sales of electricity, the subject matter of the subpoena focuses in large part on the wholesale prices of energy that EES was or will be able to obtain to service its retail customers.  Even though in the </w:t>
      </w:r>
      <w:r>
        <w:rPr>
          <w:i/>
        </w:rPr>
        <w:t>Younger</w:t>
      </w:r>
      <w:r>
        <w:rPr/>
        <w:t xml:space="preserve"> case the California Supreme court concluded that the AG’s investigation into the interstate natural gas prices was permissible, there is at least one countervailing federal precedent.  </w:t>
      </w:r>
      <w:r>
        <w:rPr>
          <w:i/>
          <w:color w:val="000000"/>
          <w:lang w:eastAsia="en-US"/>
        </w:rPr>
        <w:t xml:space="preserve">Sprint Corp. v. Evans </w:t>
      </w:r>
      <w:r>
        <w:rPr>
          <w:color w:val="000000"/>
          <w:lang w:eastAsia="en-US"/>
        </w:rPr>
        <w:t xml:space="preserve">(M.D. Al. 1993) 818 F.Supp. 1447; </w:t>
      </w:r>
      <w:r>
        <w:rPr>
          <w:i/>
          <w:color w:val="000000"/>
          <w:lang w:eastAsia="en-US"/>
        </w:rPr>
        <w:t xml:space="preserve">Sprint Corp. v. Evans </w:t>
      </w:r>
      <w:r>
        <w:rPr>
          <w:color w:val="000000"/>
          <w:lang w:eastAsia="en-US"/>
        </w:rPr>
        <w:t>(M.D. Al. 1994) 846 F.Supp. 1497.  The facts of that case are as follows:</w:t>
      </w:r>
    </w:p>
    <w:p>
      <w:pPr>
        <w:pStyle w:val="Normal"/>
        <w:rPr>
          <w:color w:val="000000"/>
          <w:lang w:eastAsia="en-US"/>
        </w:rPr>
      </w:pPr>
      <w:r>
        <w:rPr>
          <w:color w:val="000000"/>
          <w:lang w:eastAsia="en-US"/>
        </w:rPr>
      </w:r>
    </w:p>
    <w:p>
      <w:pPr>
        <w:pStyle w:val="Normal"/>
        <w:ind w:start="2160" w:end="0"/>
        <w:rPr/>
      </w:pPr>
      <w:r>
        <w:rPr>
          <w:color w:val="000000"/>
          <w:lang w:eastAsia="en-US"/>
        </w:rPr>
        <w:t xml:space="preserve">In the </w:t>
      </w:r>
      <w:r>
        <w:rPr>
          <w:i/>
          <w:color w:val="000000"/>
          <w:lang w:eastAsia="en-US"/>
        </w:rPr>
        <w:t xml:space="preserve">Sprint </w:t>
      </w:r>
      <w:r>
        <w:rPr>
          <w:color w:val="000000"/>
          <w:lang w:eastAsia="en-US"/>
        </w:rPr>
        <w:t xml:space="preserve">case, the Attorney General of Alabama in 1993 began an investigation of Sprint Corporation, an international telecommunications company acting as a "common carrier" within the meaning of the federal Communications Act.  Sprint, among other things, provided a "1-800" service to subscribers pursuant to tariffs filed with the FCC.  To use these "1-800" numbers, a caller places a call through a local telephone company, who connects the call to a long distance carrier such as Sprint, who generally then connect the call to the "1-800" subscribers’ local telephone number.   </w:t>
      </w:r>
    </w:p>
    <w:p>
      <w:pPr>
        <w:pStyle w:val="Normal"/>
        <w:rPr>
          <w:color w:val="000000"/>
          <w:lang w:eastAsia="en-US"/>
        </w:rPr>
      </w:pPr>
      <w:r>
        <w:rPr>
          <w:color w:val="000000"/>
          <w:lang w:eastAsia="en-US"/>
        </w:rPr>
      </w:r>
    </w:p>
    <w:p>
      <w:pPr>
        <w:pStyle w:val="Normal"/>
        <w:ind w:start="2160" w:end="0"/>
        <w:rPr>
          <w:color w:val="000000"/>
          <w:lang w:eastAsia="en-US"/>
        </w:rPr>
      </w:pPr>
      <w:r>
        <w:rPr>
          <w:color w:val="000000"/>
          <w:lang w:eastAsia="en-US"/>
        </w:rPr>
        <w:t>In February 1993, Sprint received a subpoena from the Montgomery County Grand Jury commanding it to appear and produce all records relating to the "1-800" service.  Sprint produced the documents and learned that it was under investigation for violation of Alabama's obscenity laws in connection with allegedly obscene content distributed over telephone lines.</w:t>
      </w:r>
    </w:p>
    <w:p>
      <w:pPr>
        <w:pStyle w:val="Normal"/>
        <w:rPr>
          <w:color w:val="000000"/>
          <w:lang w:eastAsia="en-US"/>
        </w:rPr>
      </w:pPr>
      <w:r>
        <w:rPr>
          <w:color w:val="000000"/>
          <w:lang w:eastAsia="en-US"/>
        </w:rPr>
      </w:r>
    </w:p>
    <w:p>
      <w:pPr>
        <w:pStyle w:val="Normal"/>
        <w:ind w:start="2160" w:end="0"/>
        <w:rPr>
          <w:color w:val="000000"/>
          <w:lang w:eastAsia="en-US"/>
        </w:rPr>
      </w:pPr>
      <w:r>
        <w:rPr>
          <w:color w:val="000000"/>
          <w:lang w:eastAsia="en-US"/>
        </w:rPr>
        <w:t xml:space="preserve">In March 1993, Sprint filed a motion for a temporary restraining order (TRO) and a preliminary injunction seeking to enjoin the Alabama Attorney General from pursuing a criminal indictment against Sprint for violation of the obscenity law.  </w:t>
      </w:r>
      <w:r>
        <w:rPr>
          <w:b/>
          <w:color w:val="000000"/>
          <w:lang w:eastAsia="en-US"/>
        </w:rPr>
        <w:t xml:space="preserve">Sprint maintained enforcement of the anti-obscenity law would interfere with federal statutory rights because regulation of interstate communications is within the exclusive jurisdiction of the FCC.  At the TRO hearing, the Attorney General could not testify that the prosecution was not imminent, and therefore, the court issued the TRO.  </w:t>
      </w:r>
    </w:p>
    <w:p>
      <w:pPr>
        <w:pStyle w:val="Normal"/>
        <w:rPr>
          <w:color w:val="000000"/>
          <w:lang w:eastAsia="en-US"/>
        </w:rPr>
      </w:pPr>
      <w:r>
        <w:rPr>
          <w:color w:val="000000"/>
          <w:lang w:eastAsia="en-US"/>
        </w:rPr>
      </w:r>
    </w:p>
    <w:p>
      <w:pPr>
        <w:pStyle w:val="Normal"/>
        <w:ind w:start="2160" w:end="0"/>
        <w:rPr/>
      </w:pPr>
      <w:r>
        <w:rPr>
          <w:color w:val="000000"/>
          <w:lang w:eastAsia="en-US"/>
        </w:rPr>
        <w:t xml:space="preserve">Later in March, the Court decided Sprint's motion for a preliminary injunction.  </w:t>
      </w:r>
      <w:r>
        <w:rPr>
          <w:i/>
          <w:color w:val="000000"/>
          <w:lang w:eastAsia="en-US"/>
        </w:rPr>
        <w:t xml:space="preserve">Sprint Corp. v. Evans </w:t>
      </w:r>
      <w:r>
        <w:rPr>
          <w:color w:val="000000"/>
          <w:lang w:eastAsia="en-US"/>
        </w:rPr>
        <w:t>(M.D. Al. 1993) 818 F.Supp. 1447.  At the hearing on this motion, counsel for the Attorney General stated that the Attorney General's position regarding Sprint's criminal liability under the obscenity statute related to its obligations under that law when a telephone customer complains that a "1-800" subscriber's message is offensive.  According to counsel, if a customer complains, Sprint is obligated to either report the complaint to a prosecuting attorney or begin a declaratory judgment action against the subscriber.</w:t>
      </w:r>
    </w:p>
    <w:p>
      <w:pPr>
        <w:pStyle w:val="Normal"/>
        <w:rPr>
          <w:color w:val="000000"/>
          <w:lang w:eastAsia="en-US"/>
        </w:rPr>
      </w:pPr>
      <w:r>
        <w:rPr>
          <w:color w:val="000000"/>
          <w:lang w:eastAsia="en-US"/>
        </w:rPr>
      </w:r>
    </w:p>
    <w:p>
      <w:pPr>
        <w:pStyle w:val="Normal"/>
        <w:ind w:start="2160" w:end="0"/>
        <w:rPr/>
      </w:pPr>
      <w:r>
        <w:rPr>
          <w:color w:val="000000"/>
          <w:lang w:eastAsia="en-US"/>
        </w:rPr>
        <w:t xml:space="preserve">The District Court granted the preliminary injunction.  The court held that, under the relevant Eleventh Circuit test for determining whether a preliminary injunction should issue, the movant must show:  "(1) a substantial likelihood that she will ultimately prevail on the merits;  (2) that she will suffer irreparable injury unless the injunction issues;  (3) that the threatened injury to the movant outweighs whatever damage the proposed injunction may cause the opposing party;  and (4) that if issued, the injunction would not be adverse to the public interest."  </w:t>
      </w:r>
      <w:r>
        <w:rPr>
          <w:i/>
          <w:color w:val="000000"/>
          <w:lang w:eastAsia="en-US"/>
        </w:rPr>
        <w:t>Sprint</w:t>
      </w:r>
      <w:r>
        <w:rPr>
          <w:color w:val="000000"/>
          <w:lang w:eastAsia="en-US"/>
        </w:rPr>
        <w:t xml:space="preserve">, 818 F.Supp. at 1452.   </w:t>
      </w:r>
    </w:p>
    <w:p>
      <w:pPr>
        <w:pStyle w:val="Normal"/>
        <w:rPr>
          <w:color w:val="000000"/>
          <w:lang w:eastAsia="en-US"/>
        </w:rPr>
      </w:pPr>
      <w:r>
        <w:rPr>
          <w:color w:val="000000"/>
          <w:lang w:eastAsia="en-US"/>
        </w:rPr>
      </w:r>
    </w:p>
    <w:p>
      <w:pPr>
        <w:pStyle w:val="Normal"/>
        <w:ind w:start="2160" w:end="0"/>
        <w:rPr>
          <w:color w:val="000000"/>
          <w:lang w:eastAsia="en-US"/>
        </w:rPr>
      </w:pPr>
      <w:r>
        <w:rPr>
          <w:color w:val="000000"/>
          <w:lang w:eastAsia="en-US"/>
        </w:rPr>
        <w:t xml:space="preserve">Before the Court considered the first element of this test, the Court addressed the contention that the District Court had no jurisdiction.  The Court held that: "[t]he Supreme Court, however, has held that federal courts have federal-question jurisdiction under 28 U.S.C.A. § 1331 to entertain suits to enjoin state officials from interfering with federal statutory rights."  </w:t>
      </w:r>
    </w:p>
    <w:p>
      <w:pPr>
        <w:pStyle w:val="Normal"/>
        <w:rPr>
          <w:color w:val="000000"/>
          <w:lang w:eastAsia="en-US"/>
        </w:rPr>
      </w:pPr>
      <w:r>
        <w:rPr>
          <w:color w:val="000000"/>
          <w:lang w:eastAsia="en-US"/>
        </w:rPr>
      </w:r>
    </w:p>
    <w:p>
      <w:pPr>
        <w:pStyle w:val="Normal"/>
        <w:ind w:start="2160" w:end="0"/>
        <w:rPr/>
      </w:pPr>
      <w:r>
        <w:rPr>
          <w:color w:val="000000"/>
          <w:lang w:eastAsia="en-US"/>
        </w:rPr>
        <w:t xml:space="preserve">The Court then held that there was a substantial likelihood that Sprint would prevail on the merits because "to the extent that the Alabama anti-obscenity statute attempts to impose reporting requirements on communications by common carriers, it is interstate in nature and preempted by federal law.... The statute is being used as a mechanism to impose new reporting requirements on common carriers with regard to their 800 service.  Currently, under federal law, common carriers do not have an affirmative obligation to investigate whether their facilities are being used by customers for a lawful purpose."  (Importantly, the Court did not reach the question whether the Communications Act preempts all Alabama laws imposing liability for conduct of common carriers in the area of obscenity.  The Court also rejected the Attorney General's argument that a </w:t>
      </w:r>
      <w:r>
        <w:rPr>
          <w:i/>
          <w:color w:val="000000"/>
          <w:lang w:eastAsia="en-US"/>
        </w:rPr>
        <w:t>Younger</w:t>
      </w:r>
      <w:r>
        <w:rPr>
          <w:color w:val="000000"/>
          <w:lang w:eastAsia="en-US"/>
        </w:rPr>
        <w:t xml:space="preserve"> abstention was necessary.)</w:t>
      </w:r>
    </w:p>
    <w:p>
      <w:pPr>
        <w:pStyle w:val="Normal"/>
        <w:rPr>
          <w:color w:val="000000"/>
          <w:lang w:eastAsia="en-US"/>
        </w:rPr>
      </w:pPr>
      <w:r>
        <w:rPr>
          <w:color w:val="000000"/>
          <w:lang w:eastAsia="en-US"/>
        </w:rPr>
      </w:r>
    </w:p>
    <w:p>
      <w:pPr>
        <w:pStyle w:val="Normal"/>
        <w:ind w:start="2160" w:end="0"/>
        <w:rPr/>
      </w:pPr>
      <w:r>
        <w:rPr>
          <w:color w:val="000000"/>
          <w:lang w:eastAsia="en-US"/>
        </w:rPr>
        <w:t xml:space="preserve">The Court disposed of the last three parts of the preliminary injunction test easily.  First, the Court held that irreparable harm would result because "an indictment against Sprint would cause great harm to its business reputation and would jeopardize its status as a government contractor."  Second, the Court held that the potential harm to Sprint outweighed the potential harm to the Attorney General because "although the Attorney General relies on a state statute directed at the prosecution of the distribution of obscene matter, the Attorney General really seeks to impose interstate reporting requirements on common carriers--in other words, the generic proceeding at issue is the regulation of interstate telecommunications by common carriers outside the context of the distribution of obscene matter.  The Attorney General clearly has no interest in such interstate regulation."  Third, the Court held that the "preliminary injunction serves the public interest by ensuring that the national interest in fulfilling the goals of the Federal Communications Act."  </w:t>
      </w:r>
      <w:r>
        <w:rPr>
          <w:i/>
          <w:color w:val="000000"/>
          <w:lang w:eastAsia="en-US"/>
        </w:rPr>
        <w:t>Sprint</w:t>
      </w:r>
      <w:r>
        <w:rPr>
          <w:color w:val="000000"/>
          <w:lang w:eastAsia="en-US"/>
        </w:rPr>
        <w:t xml:space="preserve">, 818 F.Supp. at 1460-61. </w:t>
      </w:r>
    </w:p>
    <w:p>
      <w:pPr>
        <w:pStyle w:val="Normal"/>
        <w:rPr>
          <w:color w:val="000000"/>
          <w:lang w:eastAsia="en-US"/>
        </w:rPr>
      </w:pPr>
      <w:r>
        <w:rPr>
          <w:color w:val="000000"/>
          <w:lang w:eastAsia="en-US"/>
        </w:rPr>
      </w:r>
    </w:p>
    <w:p>
      <w:pPr>
        <w:pStyle w:val="Normal"/>
        <w:ind w:start="2160" w:end="0"/>
        <w:rPr/>
      </w:pPr>
      <w:r>
        <w:rPr>
          <w:color w:val="000000"/>
          <w:lang w:eastAsia="en-US"/>
        </w:rPr>
        <w:t xml:space="preserve">In a separate decision, almost a year later, the District Court granted, in part, Sprint's motion to refer certain issues to the FCC under the doctrine of primary jurisdiction.  </w:t>
      </w:r>
      <w:r>
        <w:rPr>
          <w:i/>
          <w:color w:val="000000"/>
          <w:lang w:eastAsia="en-US"/>
        </w:rPr>
        <w:t>Sprint 2</w:t>
      </w:r>
      <w:r>
        <w:rPr>
          <w:color w:val="000000"/>
          <w:lang w:eastAsia="en-US"/>
        </w:rPr>
        <w:t xml:space="preserve">, 846 F.Supp. at 1501.  Prior to this motion, the Alabama Attorney General changed its allegations regarding the illegality of Sprint's conduct under the obscenity law -- now alleging that Sprint was not criminally liable because of a failure to report, but because of an aiding and abetting theory.  </w:t>
      </w:r>
    </w:p>
    <w:p>
      <w:pPr>
        <w:pStyle w:val="Normal"/>
        <w:rPr>
          <w:color w:val="000000"/>
          <w:lang w:eastAsia="en-US"/>
        </w:rPr>
      </w:pPr>
      <w:r>
        <w:rPr>
          <w:color w:val="000000"/>
          <w:lang w:eastAsia="en-US"/>
        </w:rPr>
      </w:r>
    </w:p>
    <w:p>
      <w:pPr>
        <w:pStyle w:val="Normal"/>
        <w:ind w:start="2160" w:end="0"/>
        <w:rPr/>
      </w:pPr>
      <w:r>
        <w:rPr>
          <w:color w:val="000000"/>
          <w:lang w:eastAsia="en-US"/>
        </w:rPr>
        <w:t xml:space="preserve">The District Court held, in brief, that  "(1) referral to FCC under primary jurisdiction doctrine was warranted with regard to question of whether common carriers, consistent with Communications Act, may refuse to carry information provider's program transmitted as "1-800" service if program contains sexually explicit information that has not been adjudicated obscene, and (2) referral to FCC was not warranted with respect to question of whether attempted criminal prosecution of interstate common carrier under state's antiobscenity laws for knowingly transmitting potentially obscene or obscene telephone communications through its interstate "1-800" facilities is preempted by Communications Act."  </w:t>
      </w:r>
      <w:r>
        <w:rPr>
          <w:i/>
          <w:color w:val="000000"/>
          <w:lang w:eastAsia="en-US"/>
        </w:rPr>
        <w:t>Sprint 2</w:t>
      </w:r>
      <w:r>
        <w:rPr>
          <w:color w:val="000000"/>
          <w:lang w:eastAsia="en-US"/>
        </w:rPr>
        <w:t>, 846 F.Supp. at 1497.  The Court then ordered that the record of the case be transmitted to the FCC, that the preliminary injunction remain in effect and that all motions would be denied without prejudice until after the FCC rendered its decision.</w:t>
      </w:r>
    </w:p>
    <w:p>
      <w:pPr>
        <w:pStyle w:val="Normal"/>
        <w:ind w:start="2160" w:end="0"/>
        <w:rPr>
          <w:color w:val="000000"/>
          <w:lang w:eastAsia="en-US"/>
        </w:rPr>
      </w:pPr>
      <w:r>
        <w:rPr>
          <w:color w:val="000000"/>
          <w:lang w:eastAsia="en-US"/>
        </w:rPr>
      </w:r>
    </w:p>
    <w:p>
      <w:pPr>
        <w:pStyle w:val="Heading2"/>
        <w:numPr>
          <w:ilvl w:val="0"/>
          <w:numId w:val="0"/>
        </w:numPr>
        <w:ind w:hanging="720" w:start="2160" w:end="720"/>
        <w:rPr/>
      </w:pPr>
      <w:r>
        <w:rPr/>
        <w:t>2.</w:t>
        <w:tab/>
        <w:t xml:space="preserve">Use the Lockyer Comments as Evidence of Federal Question Jurisdiction coupled with primary jurisdiction arguments. </w:t>
      </w:r>
    </w:p>
    <w:p>
      <w:pPr>
        <w:pStyle w:val="Normal"/>
        <w:ind w:start="2160" w:end="0"/>
        <w:rPr/>
      </w:pPr>
      <w:r>
        <w:rPr/>
        <w:t xml:space="preserve">There may be strong strategic reasons that weigh against this option, but Enron may be able to use Bill Lockyer’s statements about Enron and its Chairman as the basis for removal under Federal Question jurisdiction.  The argument is that Bill Lockyer is using his state subpoena power to violate Enron’s right to a fair and impartial investigation.  By violating his ethical responsibilities and announcing his view that Enron and its Chairman are guilty of a crime, he cannot now use his state subpoena power to try and find a crime.  </w:t>
      </w:r>
      <w:r>
        <w:rPr>
          <w:i/>
        </w:rPr>
        <w:t>(If this is a option that Enron wants to consider, we will need to conduct further research on its feasibility.)</w:t>
      </w:r>
      <w:r>
        <w:rPr/>
        <w:t xml:space="preserve"> </w:t>
      </w:r>
    </w:p>
    <w:p>
      <w:pPr>
        <w:pStyle w:val="Normal"/>
        <w:rPr>
          <w:color w:val="000000"/>
          <w:lang w:eastAsia="en-US"/>
        </w:rPr>
      </w:pPr>
      <w:r>
        <w:rPr>
          <w:color w:val="000000"/>
          <w:lang w:eastAsia="en-US"/>
        </w:rPr>
      </w:r>
    </w:p>
    <w:p>
      <w:pPr>
        <w:pStyle w:val="Heading2"/>
        <w:numPr>
          <w:ilvl w:val="0"/>
          <w:numId w:val="0"/>
        </w:numPr>
        <w:ind w:hanging="0" w:start="720" w:end="720"/>
        <w:rPr>
          <w:b/>
        </w:rPr>
      </w:pPr>
      <w:r>
        <w:rPr>
          <w:b/>
        </w:rPr>
        <w:t>C.</w:t>
        <w:tab/>
        <w:t>Preemptively file an Action in Federal Court Seeking an Injuction</w:t>
      </w:r>
    </w:p>
    <w:p>
      <w:pPr>
        <w:pStyle w:val="Normal"/>
        <w:ind w:hanging="720" w:start="2160" w:end="0"/>
        <w:rPr/>
      </w:pPr>
      <w:r>
        <w:rPr/>
        <w:t>1.</w:t>
        <w:tab/>
        <w:t xml:space="preserve">Filing any action in California raises issues of recusal that may impact the pending civil actions in California. </w:t>
      </w:r>
    </w:p>
    <w:p>
      <w:pPr>
        <w:pStyle w:val="Normal"/>
        <w:ind w:hanging="720" w:start="2160" w:end="0"/>
        <w:rPr/>
      </w:pPr>
      <w:r>
        <w:rPr/>
        <w:t>2.</w:t>
        <w:tab/>
        <w:t xml:space="preserve">This option follows the procedure that Sprint used in Alabama case.  The question here is whether Enron would be able to convince a court that it is likely to prevail on the merits.  </w:t>
      </w:r>
    </w:p>
    <w:p>
      <w:pPr>
        <w:pStyle w:val="Normal"/>
        <w:ind w:hanging="720" w:start="2160" w:end="0"/>
        <w:rPr/>
      </w:pPr>
      <w:r>
        <w:rPr/>
      </w:r>
    </w:p>
    <w:p>
      <w:pPr>
        <w:pStyle w:val="Heading2"/>
        <w:numPr>
          <w:ilvl w:val="0"/>
          <w:numId w:val="0"/>
        </w:numPr>
        <w:ind w:hanging="0" w:start="720" w:end="720"/>
        <w:rPr>
          <w:b/>
        </w:rPr>
      </w:pPr>
      <w:r>
        <w:rPr>
          <w:b/>
        </w:rPr>
        <w:t>D.</w:t>
        <w:tab/>
        <w:t xml:space="preserve">Produce Documents after Negotiations on Scope, etc. </w:t>
      </w:r>
    </w:p>
    <w:p>
      <w:pPr>
        <w:pStyle w:val="Normal"/>
        <w:ind w:hanging="720" w:start="2160" w:end="0"/>
        <w:rPr/>
      </w:pPr>
      <w:r>
        <w:rPr/>
        <w:t>1.</w:t>
        <w:tab/>
        <w:t>Under this option, Enron adopts a routine approach to the subpoena, negotiating the scope and breadth, seeking a reasonable production schedule, etc.</w:t>
      </w:r>
    </w:p>
    <w:p>
      <w:pPr>
        <w:pStyle w:val="Normal"/>
        <w:ind w:hanging="720" w:start="2160" w:end="0"/>
        <w:rPr/>
      </w:pPr>
      <w:r>
        <w:rPr/>
        <w:t>2.</w:t>
        <w:tab/>
        <w:t xml:space="preserve">Enron may have a story to tell about how Enron lost money or is losing money on its retail electrical operations.  We do not know if stating this information publicly will make the situation worse for Enron (e.g. give suppliers information that may lead them to increase their price to Enron because they know Enron needs the energy).  If not, there may be some slight public relations advantage in blunting criticism that Enron only made money on energy.  </w:t>
      </w:r>
    </w:p>
    <w:p>
      <w:pPr>
        <w:pStyle w:val="Normal"/>
        <w:ind w:hanging="720" w:start="2160" w:end="0"/>
        <w:rPr/>
      </w:pPr>
      <w:r>
        <w:rPr/>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SFRLIB1\GSF\5514818.01(3@79#01!.DOC)</w:t>
    </w:r>
    <w:r>
      <w:rPr>
        <w:smallCaps/>
        <w:sz w:val="12"/>
      </w:rPr>
      <w:fldChar w:fldCharType="end"/>
    </w:r>
  </w:p>
  <w:p>
    <w:pPr>
      <w:pStyle w:val="Footer"/>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p>
    <w:pPr>
      <w:pStyle w:val="Footer"/>
      <w:rPr>
        <w:smallCaps/>
        <w:sz w:val="12"/>
      </w:rPr>
    </w:pPr>
    <w:r>
      <w:rPr>
        <w:smallCap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bookmarkStart w:id="7" w:name="bph"/>
    <w:r>
      <w:rPr>
        <w:sz w:val="16"/>
      </w:rPr>
      <w:t xml:space="preserve">Brobeck, Phleger &amp; Harrison </w:t>
    </w:r>
    <w:r>
      <w:rPr>
        <w:smallCaps/>
        <w:sz w:val="16"/>
      </w:rPr>
      <w:t>llp</w:t>
    </w:r>
    <w:bookmarkEnd w:id="7"/>
  </w:p>
  <w:p>
    <w:pPr>
      <w:pStyle w:val="FooterID"/>
      <w:ind w:start="0" w:end="0"/>
      <w:rPr/>
    </w:pPr>
    <w:r>
      <w:rPr/>
      <w:fldChar w:fldCharType="begin"/>
    </w:r>
    <w:r>
      <w:rPr/>
      <w:instrText xml:space="preserve"> DOCPROPERTY "Doc No."</w:instrText>
    </w:r>
    <w:r>
      <w:rPr/>
      <w:fldChar w:fldCharType="separate"/>
    </w:r>
    <w:r>
      <w:rPr/>
      <w:t>SFRLIB1\GSF\5514818.01(3@79#01!.DOC)</w:t>
    </w:r>
    <w:r>
      <w:rPr/>
      <w:fldChar w:fldCharType="end"/>
    </w:r>
  </w:p>
  <w:p>
    <w:pPr>
      <w:pStyle w:val="FooterID"/>
      <w:ind w:start="0" w:end="0"/>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spacing w:before="0" w:after="240"/>
      <w:ind w:hanging="0" w:start="0" w:end="720"/>
      <w:outlineLvl w:val="0"/>
    </w:pPr>
    <w:rPr>
      <w:b/>
      <w:caps/>
      <w:color w:val="000000"/>
    </w:rPr>
  </w:style>
  <w:style w:type="paragraph" w:styleId="Heading2">
    <w:name w:val="heading 2"/>
    <w:basedOn w:val="Normal"/>
    <w:next w:val="Normal"/>
    <w:qFormat/>
    <w:pPr>
      <w:keepNext w:val="true"/>
      <w:keepLines/>
      <w:numPr>
        <w:ilvl w:val="1"/>
        <w:numId w:val="1"/>
      </w:numPr>
      <w:spacing w:before="0" w:after="240"/>
      <w:ind w:hanging="0" w:start="0" w:end="720"/>
      <w:outlineLvl w:val="1"/>
    </w:pPr>
    <w:rPr>
      <w:color w:val="000000"/>
    </w:rPr>
  </w:style>
  <w:style w:type="paragraph" w:styleId="Heading3">
    <w:name w:val="heading 3"/>
    <w:basedOn w:val="Heading2"/>
    <w:next w:val="Normal"/>
    <w:qFormat/>
    <w:pPr>
      <w:numPr>
        <w:ilvl w:val="2"/>
        <w:numId w:val="1"/>
      </w:numPr>
      <w:outlineLvl w:val="2"/>
    </w:pPr>
    <w:rPr/>
  </w:style>
  <w:style w:type="paragraph" w:styleId="Heading4">
    <w:name w:val="heading 4"/>
    <w:basedOn w:val="Normal"/>
    <w:next w:val="Normal"/>
    <w:qFormat/>
    <w:pPr>
      <w:keepNext w:val="true"/>
      <w:numPr>
        <w:ilvl w:val="3"/>
        <w:numId w:val="1"/>
      </w:numPr>
      <w:spacing w:before="0" w:after="240"/>
      <w:ind w:hanging="0" w:start="0" w:end="720"/>
      <w:outlineLvl w:val="3"/>
    </w:pPr>
    <w:rPr/>
  </w:style>
  <w:style w:type="paragraph" w:styleId="Heading5">
    <w:name w:val="heading 5"/>
    <w:basedOn w:val="Normal"/>
    <w:next w:val="Normal"/>
    <w:qFormat/>
    <w:pPr>
      <w:numPr>
        <w:ilvl w:val="4"/>
        <w:numId w:val="1"/>
      </w:numPr>
      <w:spacing w:before="0" w:after="240"/>
      <w:ind w:hanging="0" w:start="0" w:end="720"/>
      <w:outlineLvl w:val="4"/>
    </w:pPr>
    <w:rPr/>
  </w:style>
  <w:style w:type="paragraph" w:styleId="Heading6">
    <w:name w:val="heading 6"/>
    <w:basedOn w:val="Normal"/>
    <w:next w:val="Normal"/>
    <w:qFormat/>
    <w:pPr>
      <w:numPr>
        <w:ilvl w:val="5"/>
        <w:numId w:val="1"/>
      </w:numPr>
      <w:spacing w:before="0" w:after="240"/>
      <w:ind w:hanging="0" w:start="0" w:end="720"/>
      <w:outlineLvl w:val="5"/>
    </w:pPr>
    <w:rPr/>
  </w:style>
  <w:style w:type="paragraph" w:styleId="Heading7">
    <w:name w:val="heading 7"/>
    <w:basedOn w:val="Normal"/>
    <w:next w:val="Normal"/>
    <w:qFormat/>
    <w:pPr>
      <w:numPr>
        <w:ilvl w:val="6"/>
        <w:numId w:val="1"/>
      </w:numPr>
      <w:spacing w:before="0" w:after="240"/>
      <w:ind w:hanging="0" w:start="0" w:end="720"/>
      <w:outlineLvl w:val="6"/>
    </w:pPr>
    <w:rPr>
      <w:color w:val="000000"/>
    </w:rPr>
  </w:style>
  <w:style w:type="paragraph" w:styleId="Heading8">
    <w:name w:val="heading 8"/>
    <w:basedOn w:val="Normal"/>
    <w:next w:val="Normal"/>
    <w:qFormat/>
    <w:pPr>
      <w:numPr>
        <w:ilvl w:val="7"/>
        <w:numId w:val="1"/>
      </w:numPr>
      <w:spacing w:before="0" w:after="240"/>
      <w:ind w:hanging="0" w:start="0" w:end="720"/>
      <w:outlineLvl w:val="7"/>
    </w:pPr>
    <w:rPr>
      <w:color w:val="000000"/>
    </w:rPr>
  </w:style>
  <w:style w:type="paragraph" w:styleId="Heading9">
    <w:name w:val="heading 9"/>
    <w:basedOn w:val="Normal"/>
    <w:next w:val="Normal"/>
    <w:qFormat/>
    <w:pPr>
      <w:numPr>
        <w:ilvl w:val="8"/>
        <w:numId w:val="1"/>
      </w:numPr>
      <w:spacing w:before="0" w:after="240"/>
      <w:ind w:hanging="0" w:start="0" w:end="72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Subtitle"/>
    <w:qFormat/>
    <w:pPr>
      <w:keepNext w:val="true"/>
      <w:keepLines/>
      <w:widowControl w:val="false"/>
      <w:spacing w:before="0" w:after="240"/>
      <w:jc w:val="center"/>
      <w:outlineLvl w:val="0"/>
    </w:pPr>
    <w:rPr>
      <w:b/>
      <w:caps/>
      <w:kern w:val="2"/>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ind w:firstLine="720" w:start="0" w:end="0"/>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120" w:after="0"/>
    </w:pPr>
    <w:rPr>
      <w:b/>
      <w:caps/>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qFormat/>
    <w:pPr>
      <w:spacing w:lineRule="auto" w:line="36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Normal"/>
    <w:qFormat/>
    <w:pPr>
      <w:spacing w:before="0" w:after="240"/>
      <w:ind w:hanging="0" w:start="1440" w:end="0"/>
    </w:pPr>
    <w:rPr/>
  </w:style>
  <w:style w:type="paragraph" w:styleId="BodyTextIndent">
    <w:name w:val="Body Text Indent"/>
    <w:basedOn w:val="BodyText"/>
    <w:pPr>
      <w:ind w:hanging="0" w:start="720" w:end="0"/>
    </w:pPr>
    <w:rPr/>
  </w:style>
  <w:style w:type="paragraph" w:styleId="BodyTextFirstIndent2">
    <w:name w:val="Body Text First Indent 2"/>
    <w:basedOn w:val="BodyTextIndent"/>
    <w:qFormat/>
    <w:pPr>
      <w:ind w:firstLine="1440" w:start="0" w:end="0"/>
    </w:pPr>
    <w:rPr/>
  </w:style>
  <w:style w:type="paragraph" w:styleId="BodyTextIndent3">
    <w:name w:val="Body Text Indent 3"/>
    <w:basedOn w:val="Normal"/>
    <w:qFormat/>
    <w:pPr>
      <w:spacing w:before="0" w:after="240"/>
      <w:ind w:hanging="0" w:start="21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widowControl w:val="false"/>
      <w:spacing w:before="0" w:after="240"/>
      <w:jc w:val="center"/>
      <w:outlineLvl w:val="1"/>
    </w:pPr>
    <w:rPr>
      <w:b/>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zzResponseText">
    <w:name w:val="zzResponse Text"/>
    <w:basedOn w:val="Normal"/>
    <w:qFormat/>
    <w:pPr>
      <w:spacing w:before="0" w:after="240"/>
    </w:pPr>
    <w:rPr/>
  </w:style>
  <w:style w:type="paragraph" w:styleId="zzFormTitle">
    <w:name w:val="zzForm Title"/>
    <w:basedOn w:val="Normal"/>
    <w:qFormat/>
    <w:pPr/>
    <w:rPr>
      <w:rFonts w:ascii="Arial" w:hAnsi="Arial" w:cs="Arial"/>
      <w:b/>
      <w:spacing w:val="200"/>
      <w:sz w:val="32"/>
    </w:rPr>
  </w:style>
  <w:style w:type="paragraph" w:styleId="zzAddressTag">
    <w:name w:val="zzAddress Tag"/>
    <w:basedOn w:val="Normal"/>
    <w:qFormat/>
    <w:pPr>
      <w:widowControl w:val="false"/>
      <w:spacing w:before="0" w:after="240"/>
    </w:pPr>
    <w:rPr/>
  </w:style>
  <w:style w:type="paragraph" w:styleId="BodyText3">
    <w:name w:val="Body Text 3"/>
    <w:basedOn w:val="BodyText"/>
    <w:qFormat/>
    <w:pPr>
      <w:spacing w:lineRule="auto" w:line="480" w:before="0" w:after="0"/>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2001-06-04T17:30:00Z</dcterms:created>
  <dc:creator>GSF</dc:creator>
  <dc:description/>
  <dc:language>en-CA</dc:language>
  <cp:lastModifiedBy>Systems Engineer</cp:lastModifiedBy>
  <cp:lastPrinted>2001-06-04T12:11:00Z</cp:lastPrinted>
  <dcterms:modified xsi:type="dcterms:W3CDTF">2001-06-04T17:30:00Z</dcterms:modified>
  <cp:revision>3</cp:revision>
  <dc:subject>Subpoena From California Attorney General</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SFRLIB1\GSF\5514818.01(3@79#01!.DOC)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