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drawing>
          <wp:inline distT="0" distB="0" distL="0" distR="0">
            <wp:extent cx="995680" cy="9899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95680" cy="989965"/>
                    </a:xfrm>
                    <a:prstGeom prst="rect">
                      <a:avLst/>
                    </a:prstGeom>
                    <a:noFill/>
                  </pic:spPr>
                </pic:pic>
              </a:graphicData>
            </a:graphic>
          </wp:inline>
        </w:drawing>
      </w:r>
    </w:p>
    <w:p>
      <w:pPr>
        <w:pStyle w:val="Heading"/>
        <w:rPr/>
      </w:pPr>
      <w:r>
        <w:rPr/>
      </w:r>
    </w:p>
    <w:tbl>
      <w:tblPr>
        <w:tblW w:w="8820" w:type="dxa"/>
        <w:jc w:val="start"/>
        <w:tblInd w:w="198" w:type="dxa"/>
        <w:tblLayout w:type="fixed"/>
        <w:tblCellMar>
          <w:top w:w="0" w:type="dxa"/>
          <w:start w:w="108" w:type="dxa"/>
          <w:bottom w:w="0" w:type="dxa"/>
          <w:end w:w="108" w:type="dxa"/>
        </w:tblCellMar>
      </w:tblPr>
      <w:tblGrid>
        <w:gridCol w:w="708"/>
        <w:gridCol w:w="3252"/>
        <w:gridCol w:w="317"/>
        <w:gridCol w:w="853"/>
        <w:gridCol w:w="180"/>
        <w:gridCol w:w="870"/>
        <w:gridCol w:w="236"/>
        <w:gridCol w:w="239"/>
        <w:gridCol w:w="202"/>
        <w:gridCol w:w="1963"/>
      </w:tblGrid>
      <w:tr>
        <w:trPr>
          <w:trHeight w:val="300" w:hRule="exact"/>
        </w:trPr>
        <w:tc>
          <w:tcPr>
            <w:tcW w:w="708" w:type="dxa"/>
            <w:tcBorders/>
          </w:tcPr>
          <w:p>
            <w:pPr>
              <w:pStyle w:val="Normal"/>
              <w:ind w:start="-180" w:end="0"/>
              <w:jc w:val="end"/>
              <w:rPr>
                <w:sz w:val="16"/>
              </w:rPr>
            </w:pPr>
            <w:bookmarkStart w:id="0" w:name="Doc_Header"/>
            <w:r>
              <w:rPr>
                <w:sz w:val="16"/>
              </w:rPr>
              <w:t>To:</w:t>
            </w:r>
            <w:bookmarkEnd w:id="0"/>
          </w:p>
        </w:tc>
        <w:tc>
          <w:tcPr>
            <w:tcW w:w="5472" w:type="dxa"/>
            <w:gridSpan w:val="5"/>
            <w:tcBorders/>
          </w:tcPr>
          <w:p>
            <w:pPr>
              <w:pStyle w:val="To"/>
              <w:rPr/>
            </w:pPr>
            <w:r>
              <w:rPr/>
              <w:t>John Lavorato</w:t>
            </w:r>
          </w:p>
          <w:p>
            <w:pPr>
              <w:pStyle w:val="To"/>
              <w:rPr/>
            </w:pPr>
            <w:r>
              <w:rPr/>
            </w:r>
          </w:p>
          <w:p>
            <w:pPr>
              <w:pStyle w:val="To"/>
              <w:rPr/>
            </w:pPr>
            <w:r>
              <w:rPr/>
            </w:r>
          </w:p>
          <w:p>
            <w:pPr>
              <w:pStyle w:val="To"/>
              <w:rPr/>
            </w:pPr>
            <w:r>
              <w:rPr/>
            </w:r>
          </w:p>
          <w:p>
            <w:pPr>
              <w:pStyle w:val="To"/>
              <w:rPr/>
            </w:pPr>
            <w:r>
              <w:rPr/>
            </w:r>
          </w:p>
        </w:tc>
        <w:tc>
          <w:tcPr>
            <w:tcW w:w="677" w:type="dxa"/>
            <w:gridSpan w:val="3"/>
            <w:tcBorders/>
          </w:tcPr>
          <w:p>
            <w:pPr>
              <w:pStyle w:val="Normal"/>
              <w:snapToGrid w:val="false"/>
              <w:ind w:start="-180" w:end="0"/>
              <w:rPr/>
            </w:pPr>
            <w:r>
              <w:rPr/>
            </w:r>
          </w:p>
        </w:tc>
        <w:tc>
          <w:tcPr>
            <w:tcW w:w="1963" w:type="dxa"/>
            <w:tcBorders/>
          </w:tcPr>
          <w:p>
            <w:pPr>
              <w:pStyle w:val="Normal"/>
              <w:snapToGrid w:val="false"/>
              <w:rPr/>
            </w:pPr>
            <w:r>
              <w:rPr/>
            </w:r>
          </w:p>
        </w:tc>
      </w:tr>
      <w:tr>
        <w:trPr>
          <w:trHeight w:val="216" w:hRule="exact"/>
        </w:trPr>
        <w:tc>
          <w:tcPr>
            <w:tcW w:w="708" w:type="dxa"/>
            <w:tcBorders/>
          </w:tcPr>
          <w:p>
            <w:pPr>
              <w:pStyle w:val="Normal"/>
              <w:snapToGrid w:val="false"/>
              <w:ind w:start="-180" w:end="0"/>
              <w:jc w:val="end"/>
              <w:rPr>
                <w:sz w:val="18"/>
              </w:rPr>
            </w:pPr>
            <w:r>
              <w:rPr>
                <w:sz w:val="18"/>
              </w:rPr>
            </w:r>
          </w:p>
        </w:tc>
        <w:tc>
          <w:tcPr>
            <w:tcW w:w="3252" w:type="dxa"/>
            <w:tcBorders/>
          </w:tcPr>
          <w:p>
            <w:pPr>
              <w:pStyle w:val="Normal"/>
              <w:snapToGrid w:val="false"/>
              <w:ind w:end="-648"/>
              <w:rPr>
                <w:sz w:val="18"/>
              </w:rPr>
            </w:pPr>
            <w:r>
              <w:rPr>
                <w:sz w:val="18"/>
              </w:rPr>
            </w:r>
          </w:p>
        </w:tc>
        <w:tc>
          <w:tcPr>
            <w:tcW w:w="317" w:type="dxa"/>
            <w:tcBorders/>
          </w:tcPr>
          <w:p>
            <w:pPr>
              <w:pStyle w:val="Normal"/>
              <w:snapToGrid w:val="false"/>
              <w:ind w:start="-180" w:end="-648"/>
              <w:rPr>
                <w:sz w:val="18"/>
              </w:rPr>
            </w:pPr>
            <w:r>
              <w:rPr>
                <w:sz w:val="18"/>
              </w:rPr>
            </w:r>
          </w:p>
        </w:tc>
        <w:tc>
          <w:tcPr>
            <w:tcW w:w="4543" w:type="dxa"/>
            <w:gridSpan w:val="7"/>
            <w:tcBorders/>
          </w:tcPr>
          <w:p>
            <w:pPr>
              <w:pStyle w:val="Normal"/>
              <w:snapToGrid w:val="false"/>
              <w:ind w:end="-648"/>
              <w:rPr>
                <w:sz w:val="18"/>
              </w:rPr>
            </w:pPr>
            <w:r>
              <w:rPr>
                <w:sz w:val="18"/>
              </w:rPr>
            </w:r>
          </w:p>
        </w:tc>
      </w:tr>
      <w:tr>
        <w:trPr>
          <w:trHeight w:val="432" w:hRule="exact"/>
        </w:trPr>
        <w:tc>
          <w:tcPr>
            <w:tcW w:w="708" w:type="dxa"/>
            <w:tcBorders/>
          </w:tcPr>
          <w:p>
            <w:pPr>
              <w:pStyle w:val="Normal"/>
              <w:ind w:start="-180" w:end="0"/>
              <w:jc w:val="end"/>
              <w:rPr>
                <w:sz w:val="16"/>
              </w:rPr>
            </w:pPr>
            <w:r>
              <w:rPr>
                <w:sz w:val="16"/>
              </w:rPr>
              <w:t>cc:</w:t>
            </w:r>
          </w:p>
        </w:tc>
        <w:tc>
          <w:tcPr>
            <w:tcW w:w="4602" w:type="dxa"/>
            <w:gridSpan w:val="4"/>
            <w:tcBorders/>
          </w:tcPr>
          <w:p>
            <w:pPr>
              <w:pStyle w:val="From"/>
              <w:ind w:end="702"/>
              <w:rPr/>
            </w:pPr>
            <w:r>
              <w:rPr/>
              <w:t>Peter Keohane</w:t>
            </w:r>
          </w:p>
        </w:tc>
        <w:tc>
          <w:tcPr>
            <w:tcW w:w="1345" w:type="dxa"/>
            <w:gridSpan w:val="3"/>
            <w:tcBorders/>
          </w:tcPr>
          <w:p>
            <w:pPr>
              <w:pStyle w:val="Normal"/>
              <w:tabs>
                <w:tab w:val="clear" w:pos="540"/>
                <w:tab w:val="left" w:pos="1314" w:leader="none"/>
              </w:tabs>
              <w:snapToGrid w:val="false"/>
              <w:ind w:firstLine="1170" w:start="-1188" w:end="0"/>
              <w:jc w:val="end"/>
              <w:rPr>
                <w:sz w:val="16"/>
              </w:rPr>
            </w:pPr>
            <w:r>
              <w:rPr>
                <w:sz w:val="16"/>
              </w:rPr>
            </w:r>
          </w:p>
        </w:tc>
        <w:tc>
          <w:tcPr>
            <w:tcW w:w="2165" w:type="dxa"/>
            <w:gridSpan w:val="2"/>
            <w:tcBorders/>
          </w:tcPr>
          <w:p>
            <w:pPr>
              <w:pStyle w:val="Department"/>
              <w:snapToGrid w:val="false"/>
              <w:rPr>
                <w:sz w:val="16"/>
              </w:rPr>
            </w:pPr>
            <w:r>
              <w:rPr>
                <w:sz w:val="16"/>
              </w:rPr>
            </w:r>
          </w:p>
        </w:tc>
      </w:tr>
      <w:tr>
        <w:trPr>
          <w:trHeight w:val="300" w:hRule="exact"/>
        </w:trPr>
        <w:tc>
          <w:tcPr>
            <w:tcW w:w="708" w:type="dxa"/>
            <w:tcBorders/>
          </w:tcPr>
          <w:p>
            <w:pPr>
              <w:pStyle w:val="Normal"/>
              <w:ind w:start="-180" w:end="0"/>
              <w:jc w:val="end"/>
              <w:rPr>
                <w:sz w:val="16"/>
              </w:rPr>
            </w:pPr>
            <w:r>
              <w:rPr>
                <w:sz w:val="16"/>
              </w:rPr>
              <w:t>From:</w:t>
            </w:r>
          </w:p>
        </w:tc>
        <w:tc>
          <w:tcPr>
            <w:tcW w:w="4602" w:type="dxa"/>
            <w:gridSpan w:val="4"/>
            <w:tcBorders/>
          </w:tcPr>
          <w:p>
            <w:pPr>
              <w:pStyle w:val="From"/>
              <w:ind w:end="702"/>
              <w:rPr/>
            </w:pPr>
            <w:r>
              <w:rPr/>
              <w:t>Rob Hemstock</w:t>
            </w:r>
          </w:p>
        </w:tc>
        <w:tc>
          <w:tcPr>
            <w:tcW w:w="1345" w:type="dxa"/>
            <w:gridSpan w:val="3"/>
            <w:tcBorders/>
          </w:tcPr>
          <w:p>
            <w:pPr>
              <w:pStyle w:val="Normal"/>
              <w:tabs>
                <w:tab w:val="clear" w:pos="540"/>
                <w:tab w:val="left" w:pos="1314" w:leader="none"/>
              </w:tabs>
              <w:ind w:firstLine="1170" w:start="-1188" w:end="0"/>
              <w:jc w:val="end"/>
              <w:rPr>
                <w:sz w:val="16"/>
              </w:rPr>
            </w:pPr>
            <w:r>
              <w:rPr>
                <w:sz w:val="16"/>
              </w:rPr>
              <w:t>Department:</w:t>
            </w:r>
          </w:p>
        </w:tc>
        <w:tc>
          <w:tcPr>
            <w:tcW w:w="2165" w:type="dxa"/>
            <w:gridSpan w:val="2"/>
            <w:tcBorders/>
          </w:tcPr>
          <w:p>
            <w:pPr>
              <w:pStyle w:val="Department"/>
              <w:rPr/>
            </w:pPr>
            <w:bookmarkStart w:id="1" w:name="From"/>
            <w:bookmarkEnd w:id="1"/>
            <w:r>
              <w:rPr/>
              <w:t>Government Affairs</w:t>
            </w:r>
          </w:p>
          <w:p>
            <w:pPr>
              <w:pStyle w:val="Department"/>
              <w:rPr/>
            </w:pPr>
            <w:r>
              <w:rPr/>
            </w:r>
          </w:p>
          <w:p>
            <w:pPr>
              <w:pStyle w:val="Department"/>
              <w:rPr/>
            </w:pPr>
            <w:r>
              <w:rPr/>
            </w:r>
          </w:p>
          <w:p>
            <w:pPr>
              <w:pStyle w:val="Department"/>
              <w:rPr/>
            </w:pPr>
            <w:r>
              <w:rPr/>
            </w:r>
          </w:p>
          <w:p>
            <w:pPr>
              <w:pStyle w:val="Department"/>
              <w:rPr/>
            </w:pPr>
            <w:r>
              <w:rPr/>
            </w:r>
          </w:p>
          <w:p>
            <w:pPr>
              <w:pStyle w:val="Department"/>
              <w:rPr/>
            </w:pPr>
            <w:r>
              <w:rPr/>
            </w:r>
          </w:p>
          <w:p>
            <w:pPr>
              <w:pStyle w:val="Department"/>
              <w:rPr/>
            </w:pPr>
            <w:r>
              <w:rPr/>
            </w:r>
          </w:p>
          <w:p>
            <w:pPr>
              <w:pStyle w:val="Department"/>
              <w:rPr/>
            </w:pPr>
            <w:r>
              <w:rPr/>
            </w:r>
          </w:p>
          <w:p>
            <w:pPr>
              <w:pStyle w:val="Department"/>
              <w:rPr/>
            </w:pPr>
            <w:r>
              <w:rPr/>
            </w:r>
          </w:p>
          <w:p>
            <w:pPr>
              <w:pStyle w:val="Department"/>
              <w:rPr/>
            </w:pPr>
            <w:r>
              <w:rPr/>
            </w:r>
          </w:p>
          <w:p>
            <w:pPr>
              <w:pStyle w:val="Department"/>
              <w:rPr/>
            </w:pPr>
            <w:r>
              <w:rPr/>
            </w:r>
          </w:p>
          <w:p>
            <w:pPr>
              <w:pStyle w:val="Department"/>
              <w:rPr/>
            </w:pPr>
            <w:r>
              <w:rPr/>
            </w:r>
          </w:p>
          <w:p>
            <w:pPr>
              <w:pStyle w:val="Department"/>
              <w:rPr/>
            </w:pPr>
            <w:r>
              <w:rPr/>
            </w:r>
          </w:p>
          <w:p>
            <w:pPr>
              <w:pStyle w:val="Department"/>
              <w:rPr/>
            </w:pPr>
            <w:r>
              <w:rPr/>
            </w:r>
          </w:p>
        </w:tc>
      </w:tr>
      <w:tr>
        <w:trPr>
          <w:trHeight w:val="216" w:hRule="exact"/>
        </w:trPr>
        <w:tc>
          <w:tcPr>
            <w:tcW w:w="708" w:type="dxa"/>
            <w:tcBorders/>
          </w:tcPr>
          <w:p>
            <w:pPr>
              <w:pStyle w:val="Normal"/>
              <w:snapToGrid w:val="false"/>
              <w:ind w:start="-180" w:end="0"/>
              <w:jc w:val="end"/>
              <w:rPr>
                <w:sz w:val="18"/>
              </w:rPr>
            </w:pPr>
            <w:r>
              <w:rPr>
                <w:sz w:val="18"/>
              </w:rPr>
            </w:r>
          </w:p>
        </w:tc>
        <w:tc>
          <w:tcPr>
            <w:tcW w:w="5472" w:type="dxa"/>
            <w:gridSpan w:val="5"/>
            <w:tcBorders/>
          </w:tcPr>
          <w:p>
            <w:pPr>
              <w:pStyle w:val="Normal"/>
              <w:snapToGrid w:val="false"/>
              <w:rPr>
                <w:sz w:val="18"/>
              </w:rPr>
            </w:pPr>
            <w:r>
              <w:rPr>
                <w:sz w:val="18"/>
              </w:rPr>
            </w:r>
          </w:p>
        </w:tc>
        <w:tc>
          <w:tcPr>
            <w:tcW w:w="677" w:type="dxa"/>
            <w:gridSpan w:val="3"/>
            <w:tcBorders/>
          </w:tcPr>
          <w:p>
            <w:pPr>
              <w:pStyle w:val="Normal"/>
              <w:snapToGrid w:val="false"/>
              <w:ind w:start="-180" w:end="0"/>
              <w:rPr>
                <w:sz w:val="18"/>
              </w:rPr>
            </w:pPr>
            <w:r>
              <w:rPr>
                <w:sz w:val="18"/>
              </w:rPr>
            </w:r>
          </w:p>
        </w:tc>
        <w:tc>
          <w:tcPr>
            <w:tcW w:w="1963" w:type="dxa"/>
            <w:tcBorders/>
          </w:tcPr>
          <w:p>
            <w:pPr>
              <w:pStyle w:val="Normal"/>
              <w:snapToGrid w:val="false"/>
              <w:rPr>
                <w:sz w:val="18"/>
              </w:rPr>
            </w:pPr>
            <w:r>
              <w:rPr>
                <w:sz w:val="18"/>
              </w:rPr>
            </w:r>
          </w:p>
        </w:tc>
      </w:tr>
      <w:tr>
        <w:trPr>
          <w:trHeight w:val="600" w:hRule="exact"/>
        </w:trPr>
        <w:tc>
          <w:tcPr>
            <w:tcW w:w="708" w:type="dxa"/>
            <w:tcBorders>
              <w:bottom w:val="single" w:sz="12" w:space="0" w:color="000000"/>
            </w:tcBorders>
          </w:tcPr>
          <w:p>
            <w:pPr>
              <w:pStyle w:val="Normal"/>
              <w:ind w:start="-108" w:end="0"/>
              <w:jc w:val="end"/>
              <w:rPr>
                <w:sz w:val="16"/>
              </w:rPr>
            </w:pPr>
            <w:r>
              <w:rPr>
                <w:sz w:val="16"/>
              </w:rPr>
              <w:t>Subject:</w:t>
            </w:r>
          </w:p>
        </w:tc>
        <w:tc>
          <w:tcPr>
            <w:tcW w:w="4422" w:type="dxa"/>
            <w:gridSpan w:val="3"/>
            <w:tcBorders>
              <w:bottom w:val="single" w:sz="12" w:space="0" w:color="000000"/>
            </w:tcBorders>
          </w:tcPr>
          <w:p>
            <w:pPr>
              <w:pStyle w:val="Subject"/>
              <w:rPr/>
            </w:pPr>
            <w:r>
              <w:rPr/>
              <w:t>Legal Risks Associated with the PPAs</w:t>
            </w:r>
          </w:p>
        </w:tc>
        <w:tc>
          <w:tcPr>
            <w:tcW w:w="1286" w:type="dxa"/>
            <w:gridSpan w:val="3"/>
            <w:tcBorders>
              <w:bottom w:val="single" w:sz="12" w:space="0" w:color="000000"/>
            </w:tcBorders>
          </w:tcPr>
          <w:p>
            <w:pPr>
              <w:pStyle w:val="Normal"/>
              <w:ind w:firstLine="432" w:start="-918" w:end="-172"/>
              <w:jc w:val="end"/>
              <w:rPr>
                <w:sz w:val="16"/>
              </w:rPr>
            </w:pPr>
            <w:r>
              <w:rPr>
                <w:sz w:val="16"/>
              </w:rPr>
              <w:t>Date:</w:t>
            </w:r>
          </w:p>
        </w:tc>
        <w:tc>
          <w:tcPr>
            <w:tcW w:w="2404" w:type="dxa"/>
            <w:gridSpan w:val="3"/>
            <w:tcBorders>
              <w:bottom w:val="single" w:sz="12" w:space="0" w:color="000000"/>
            </w:tcBorders>
          </w:tcPr>
          <w:p>
            <w:pPr>
              <w:pStyle w:val="Date"/>
              <w:ind w:firstLine="226" w:end="0"/>
              <w:rPr/>
            </w:pPr>
            <w:r>
              <w:rPr/>
              <w:fldChar w:fldCharType="begin"/>
            </w:r>
            <w:r>
              <w:rPr/>
              <w:instrText xml:space="preserve"> DATE \@"MMMM\ d', 'yyyy" </w:instrText>
            </w:r>
            <w:r>
              <w:rPr/>
              <w:fldChar w:fldCharType="separate"/>
            </w:r>
            <w:r>
              <w:rPr/>
              <w:t>September 28, 2025</w:t>
            </w:r>
            <w:r>
              <w:rPr/>
              <w:fldChar w:fldCharType="end"/>
            </w:r>
          </w:p>
        </w:tc>
      </w:tr>
    </w:tbl>
    <w:p>
      <w:pPr>
        <w:pStyle w:val="Body"/>
        <w:rPr/>
      </w:pPr>
      <w:r>
        <w:rPr/>
      </w:r>
      <w:bookmarkStart w:id="2" w:name="StartOfMemo"/>
      <w:bookmarkStart w:id="3" w:name="StartOfMemo"/>
      <w:bookmarkEnd w:id="3"/>
    </w:p>
    <w:p>
      <w:pPr>
        <w:pStyle w:val="Body"/>
        <w:rPr>
          <w:b/>
          <w:u w:val="single"/>
        </w:rPr>
      </w:pPr>
      <w:r>
        <w:rPr>
          <w:b/>
          <w:u w:val="single"/>
        </w:rPr>
        <w:t>1. Non-Firm Physical Nature of the Unit Contingent Contract</w:t>
      </w:r>
    </w:p>
    <w:p>
      <w:pPr>
        <w:pStyle w:val="Body"/>
        <w:rPr>
          <w:b/>
        </w:rPr>
      </w:pPr>
      <w:r>
        <w:rPr>
          <w:b/>
        </w:rPr>
        <w:t>The legal risk is that the PPA is effectively a qualified non-firm contract and therefore Enron will not be entitled to a specific remedy (e.g. damages based on replacement cost) for delivery default by the PPA Owner.</w:t>
      </w:r>
    </w:p>
    <w:p>
      <w:pPr>
        <w:pStyle w:val="Body"/>
        <w:rPr>
          <w:b/>
          <w:u w:val="single"/>
        </w:rPr>
      </w:pPr>
      <w:r>
        <w:rPr>
          <w:b/>
          <w:u w:val="single"/>
        </w:rPr>
      </w:r>
    </w:p>
    <w:p>
      <w:pPr>
        <w:pStyle w:val="Body"/>
        <w:rPr/>
      </w:pPr>
      <w:r>
        <w:rPr/>
        <w:t xml:space="preserve">The PPA Buyer is obligated to pay a fixed monthly amount for the right to the capacity of a unit.  This does not however guarantee the PPA Owner will receive firm energy at any time during that month.  The PPA Owner will only receive energy that is produced by the units within its PPA.  At the end of each month the PPA Buyer will pay or collect an additional amount to the PPA Owner under an “availability incentive” which is based on whether the unit operated above or below its “target availability” for the month.  A PPA Owner that exceeds the unit’s target availability over the month will receive an incentive payment calculated based on an average pool price over a 30 day period.  Conversely, a PPA Owner that falls below the target availability will pay a penalty.  As a result, a unit may not be available to the PPA Buyer in a particular hour (i.e. say an hour where the pool price is $1,000/Mwh) but over the course of the month the availability of the unit may be above the target availability for that period.  In this scenario, the PPA Owner would actually receive an incentive payment.  Alternatively, even if the availability was below target availability and there is a penalty, it will be calculated based on the average pool price during the period.  The penalty will not be based on any actual loss or opportunity cost incurred by the PPA Buyer during any specific hour. </w:t>
      </w:r>
    </w:p>
    <w:p>
      <w:pPr>
        <w:pStyle w:val="Body"/>
        <w:rPr/>
      </w:pPr>
      <w:r>
        <w:rPr/>
      </w:r>
    </w:p>
    <w:p>
      <w:pPr>
        <w:pStyle w:val="Body"/>
        <w:rPr>
          <w:b/>
          <w:u w:val="single"/>
        </w:rPr>
      </w:pPr>
      <w:r>
        <w:rPr>
          <w:b/>
          <w:u w:val="single"/>
        </w:rPr>
        <w:t>2. Change in Law</w:t>
      </w:r>
    </w:p>
    <w:p>
      <w:pPr>
        <w:pStyle w:val="Body"/>
        <w:rPr>
          <w:b/>
        </w:rPr>
      </w:pPr>
      <w:r>
        <w:rPr>
          <w:b/>
        </w:rPr>
        <w:t>The legal risk is that a change in law can change the economics of a PPA that Enron purchases. This legal risk can be mitigated by restricting our PPAs bids to units which we will bid negative on because of the high fixed and variable costs associated with them.</w:t>
      </w:r>
    </w:p>
    <w:p>
      <w:pPr>
        <w:pStyle w:val="Body"/>
        <w:rPr>
          <w:b/>
          <w:u w:val="single"/>
        </w:rPr>
      </w:pPr>
      <w:r>
        <w:rPr>
          <w:b/>
          <w:u w:val="single"/>
        </w:rPr>
      </w:r>
    </w:p>
    <w:p>
      <w:pPr>
        <w:pStyle w:val="Body"/>
        <w:rPr/>
      </w:pPr>
      <w:r>
        <w:rPr/>
        <w:t xml:space="preserve">The PPA states that the PPA Buyer is at risk for any change in law that affects (positively or negatively) the PPA Owner’s costs or revenues in respect of the units covered by the PPA.  While the PPA Buyer will be entitled to receive any benefit attributable to a change in law that lowers the PPA Owner’s costs or increases its revenues, the risk of a change in law (e.g. carbon tax) resulting in higher costs to the PPA Buyer seems more likely.  In the event the change in law renders continued performance by the PPA Buyer “unprofitable” (unprofitable is not defined in the PPA) then the PPA Buyer may in terminate the PPA without receiving or paying a termination payment.  Therefore a PPA Buyer would forfeit any benefit from the unused portion of a positive bid. </w:t>
      </w:r>
    </w:p>
    <w:p>
      <w:pPr>
        <w:pStyle w:val="Body"/>
        <w:rPr/>
      </w:pPr>
      <w:r>
        <w:rPr/>
      </w:r>
    </w:p>
    <w:p>
      <w:pPr>
        <w:pStyle w:val="Body"/>
        <w:rPr>
          <w:b/>
          <w:u w:val="single"/>
        </w:rPr>
      </w:pPr>
      <w:r>
        <w:rPr>
          <w:b/>
          <w:u w:val="single"/>
        </w:rPr>
        <w:t>3. Potential for Changes in Costs</w:t>
      </w:r>
    </w:p>
    <w:p>
      <w:pPr>
        <w:pStyle w:val="Body"/>
        <w:rPr>
          <w:b/>
        </w:rPr>
      </w:pPr>
      <w:r>
        <w:rPr>
          <w:b/>
        </w:rPr>
        <w:t xml:space="preserve">The legal risk is that the PPA Buyer will not have certainty with respect to all of the actual fixed and variable costs it is obligated to pay to the PPA Owner.  Some of these costs will remain uncertain for the life of the PPA and cannot be hedged.  </w:t>
      </w:r>
    </w:p>
    <w:p>
      <w:pPr>
        <w:pStyle w:val="Body"/>
        <w:rPr>
          <w:b/>
          <w:u w:val="single"/>
        </w:rPr>
      </w:pPr>
      <w:r>
        <w:rPr>
          <w:b/>
          <w:u w:val="single"/>
        </w:rPr>
      </w:r>
    </w:p>
    <w:p>
      <w:pPr>
        <w:pStyle w:val="Body"/>
        <w:rPr/>
      </w:pPr>
      <w:r>
        <w:rPr/>
        <w:t>The PPA Owner’s costs (including the fixed costs) will vary from year to year for reasons unrelated to the PPA Owner’s prudent operation of a unit.  The PPA allows the PPA Owner to recover any change in its costs from the buyer of the PPA.  In some cases a published index will be used as a reference for the maximum allowable PPA Owner’s cost (i.e. AECO C gas price) and the base cost in the PPA will be adjusted against the relevant index.  This risk is easily manageable by Enron.  In other cases, however, the owner will incur costs for which there is no market against which to compare (e.g. property taxes).  For these fixed costs the Owner is allowed to simply “pass-through” the cost to the PPA buyer.  The schedules to each PPA provide precise details of how the fixed and variable costs are calculated each month.</w:t>
      </w:r>
    </w:p>
    <w:p>
      <w:pPr>
        <w:pStyle w:val="Body"/>
        <w:rPr/>
      </w:pPr>
      <w:r>
        <w:rPr/>
      </w:r>
    </w:p>
    <w:p>
      <w:pPr>
        <w:pStyle w:val="Body"/>
        <w:rPr>
          <w:b/>
          <w:u w:val="single"/>
        </w:rPr>
      </w:pPr>
      <w:r>
        <w:rPr>
          <w:b/>
          <w:u w:val="single"/>
        </w:rPr>
        <w:t>4. Force Majeure</w:t>
      </w:r>
    </w:p>
    <w:p>
      <w:pPr>
        <w:pStyle w:val="Body"/>
        <w:rPr>
          <w:b/>
        </w:rPr>
      </w:pPr>
      <w:r>
        <w:rPr>
          <w:b/>
        </w:rPr>
        <w:t>The legal risk is limited to the loss of the upside potential value of the PPA.  If the PPA Buyer elects to terminate as a result of force majeure it will be refunded any pro-rated portion of its unused PPA bid.</w:t>
      </w:r>
    </w:p>
    <w:p>
      <w:pPr>
        <w:pStyle w:val="Body"/>
        <w:rPr>
          <w:b/>
          <w:u w:val="single"/>
        </w:rPr>
      </w:pPr>
      <w:r>
        <w:rPr>
          <w:b/>
          <w:u w:val="single"/>
        </w:rPr>
      </w:r>
    </w:p>
    <w:p>
      <w:pPr>
        <w:pStyle w:val="Body"/>
        <w:rPr/>
      </w:pPr>
      <w:r>
        <w:rPr/>
        <w:t>In the event the Owner declares force majeure the PPA buyer’s obligation to pay the PPA Owner’s fixed costs cease during the term of the force majeure and the PPA buyer looses the benefit of the energy from the unit.  In the event of termination for force majeure the PPA Buyer will be refunded its pro-rated positive PPA bid.  These are acceptable provisions.</w:t>
      </w:r>
    </w:p>
    <w:p>
      <w:pPr>
        <w:pStyle w:val="Body"/>
        <w:rPr/>
      </w:pPr>
      <w:r>
        <w:rPr/>
      </w:r>
    </w:p>
    <w:p>
      <w:pPr>
        <w:pStyle w:val="Body"/>
        <w:rPr/>
      </w:pPr>
      <w:r>
        <w:rPr/>
        <w:t xml:space="preserve">My primary concern with the force majeure provisions is that the definition of force majeure includes a High Impact Low Probability Event (“HILP”).  A HILP event is defined as a major failure of some or all of the components of the plant that results in the plant being unable to operate or forced to operate at a lower level for a period in excess of six weeks.  It is unclear from the force majeure definition whether it requires the HILP event be beyond the reasonable control of the PPA Owner.  Christian Yoder advises that this is not standard force majeure language that Enron would be comfortable with.  </w:t>
      </w:r>
    </w:p>
    <w:p>
      <w:pPr>
        <w:pStyle w:val="Body"/>
        <w:rPr/>
      </w:pPr>
      <w:r>
        <w:rPr/>
      </w:r>
    </w:p>
    <w:p>
      <w:pPr>
        <w:pStyle w:val="Body"/>
        <w:rPr>
          <w:b/>
          <w:u w:val="single"/>
        </w:rPr>
      </w:pPr>
      <w:r>
        <w:rPr>
          <w:b/>
          <w:u w:val="single"/>
        </w:rPr>
        <w:t>5. General Comments</w:t>
      </w:r>
    </w:p>
    <w:p>
      <w:pPr>
        <w:pStyle w:val="Body"/>
        <w:rPr/>
      </w:pPr>
      <w:r>
        <w:rPr/>
        <w:t xml:space="preserve">Enron provided written comments to the IAT and Government of Alberta on a number of occasions in 1998 and 1999 on many issues related to the PPA document.  In particular, Enron’s comments on the Change in Law and Force Majeure issues did prompt the IAT to make changes to both of these provisions that have resulted in changes that did improve on these provisions and reduce the PPA Buyer’s exposure to these risks. </w:t>
      </w:r>
    </w:p>
    <w:p>
      <w:pPr>
        <w:pStyle w:val="Body"/>
        <w:rPr/>
      </w:pPr>
      <w:r>
        <w:rPr/>
      </w:r>
    </w:p>
    <w:p>
      <w:pPr>
        <w:pStyle w:val="Body"/>
        <w:rPr/>
      </w:pPr>
      <w:r>
        <w:rPr/>
        <w:t xml:space="preserve">In June 1999 I asked Christian Yoder to review the PPAs and provide his comments on them.  Christian concurred with my concerns about the change in law and force majeure provisions.  He also noted that these “unit contingent contracts” were unique to Alberta and therefore it was difficult for him to provide much input because the PPAs depart significantly from Enron’s standard form firm contract.  He did advise that the consequential damages provision was unacceptable which prompted me to pass this comment on to the IAT who made the appropriate change to this provision.  </w:t>
      </w:r>
    </w:p>
    <w:p>
      <w:pPr>
        <w:pStyle w:val="Body"/>
        <w:rPr/>
      </w:pPr>
      <w:r>
        <w:rPr/>
      </w:r>
    </w:p>
    <w:p>
      <w:pPr>
        <w:pStyle w:val="Body"/>
        <w:rPr/>
      </w:pPr>
      <w:r>
        <w:rPr/>
        <w:t xml:space="preserve">Christian also made the point that he was concerned that Enron may not be able to mark-to-market the income from any PPA we may purchase because the PPAs lack many standard contractual terms we insist on in power purchase agreements.  Finally, Christian commented that although the Hydro PPA was styled as a financial swap agreement it lacked a host of standard legal terms (mostly credit related) such that he doubted Enron would accept the legal risks inherent in the Hydro PPA. </w:t>
      </w:r>
    </w:p>
    <w:p>
      <w:pPr>
        <w:pStyle w:val="Body"/>
        <w:rPr/>
      </w:pPr>
      <w:r>
        <w:rPr/>
      </w:r>
    </w:p>
    <w:p>
      <w:pPr>
        <w:pStyle w:val="Body"/>
        <w:rPr/>
      </w:pPr>
      <w:r>
        <w:rPr/>
        <w:t xml:space="preserve">I believe I have highlighted a number of legal issues that are of possible concern.  I am not suggesting, however, that the work undertaken by Christian Yoder or myself represents any sort of comprehensive review of the legal issues associated with the PPAs.  A thorough legal review of any PPA that Enron may consider bidding on would be a logical initial step in the due diligence process that Enron is proceeding with at this time. </w:t>
      </w:r>
    </w:p>
    <w:sectPr>
      <w:headerReference w:type="default" r:id="rId3"/>
      <w:headerReference w:type="first" r:id="rId4"/>
      <w:footerReference w:type="default" r:id="rId5"/>
      <w:footerReference w:type="first" r:id="rId6"/>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p>
    <w:pPr>
      <w:pStyle w:val="Footer"/>
      <w:tabs>
        <w:tab w:val="clear" w:pos="4320"/>
        <w:tab w:val="left" w:pos="3780" w:leader="none"/>
        <w:tab w:val="center" w:pos="7560" w:leader="none"/>
        <w:tab w:val="right" w:pos="8640" w:leader="none"/>
      </w:tabs>
      <w:rPr>
        <w:sz w:val="16"/>
        <w:lang w:eastAsia="en-US"/>
      </w:rPr>
    </w:pPr>
    <w:r>
      <w:rPr>
        <w:sz w:val="16"/>
        <w:lang w:eastAsia="en-US"/>
      </w:rPr>
      <w:fldChar w:fldCharType="begin"/>
    </w:r>
    <w:r>
      <w:rPr>
        <w:sz w:val="16"/>
        <w:lang w:eastAsia="en-US"/>
      </w:rPr>
      <w:instrText xml:space="preserve"> FILENAME </w:instrText>
    </w:r>
    <w:r>
      <w:rPr>
        <w:sz w:val="16"/>
        <w:lang w:eastAsia="en-US"/>
      </w:rPr>
      <w:fldChar w:fldCharType="separate"/>
    </w:r>
    <w:r>
      <w:rPr>
        <w:sz w:val="16"/>
        <w:lang w:eastAsia="en-US"/>
      </w:rPr>
      <w:t>Memo_to_JL_on_PPA_Legal_Risks_012800.doc</w:t>
    </w:r>
    <w:r>
      <w:rPr>
        <w:sz w:val="16"/>
        <w:lang w:eastAsia="en-US"/>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2430" w:leader="none"/>
        <w:tab w:val="left" w:pos="5310" w:leader="none"/>
        <w:tab w:val="right" w:pos="8640" w:leader="none"/>
        <w:tab w:val="right" w:pos="10800" w:leader="none"/>
      </w:tabs>
      <w:rPr>
        <w:sz w:val="16"/>
      </w:rPr>
    </w:pPr>
    <w:r>
      <w:rPr>
        <w:b/>
        <w:sz w:val="16"/>
      </w:rPr>
      <w:t>Respect</w:t>
      <w:tab/>
      <w:t>Integrity</w:t>
      <w:tab/>
      <w:t>Communication</w:t>
      <w:tab/>
      <w:t>Excellence</w:t>
    </w:r>
  </w:p>
  <w:p>
    <w:pPr>
      <w:pStyle w:val="Footer"/>
      <w:tabs>
        <w:tab w:val="clear" w:pos="4320"/>
        <w:tab w:val="left" w:pos="3780" w:leader="none"/>
        <w:tab w:val="center" w:pos="7560" w:leader="none"/>
        <w:tab w:val="right" w:pos="8640" w:leader="none"/>
        <w:tab w:val="right" w:pos="10800" w:leader="none"/>
      </w:tabs>
      <w:rPr>
        <w:sz w:val="12"/>
      </w:rPr>
    </w:pPr>
    <w:r>
      <w:rPr>
        <w:sz w:val="12"/>
      </w:rPr>
      <w:t>Form 000-469-1 (7/92)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t xml:space="preserve">Page </w:t>
    </w:r>
    <w:r>
      <w:rPr/>
      <w:fldChar w:fldCharType="begin"/>
    </w:r>
    <w:r>
      <w:rPr/>
      <w:instrText xml:space="preserve"> PAGE </w:instrText>
    </w:r>
    <w:r>
      <w:rPr/>
      <w:fldChar w:fldCharType="separate"/>
    </w:r>
    <w:r>
      <w:rPr/>
      <w:t>2</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-361315</wp:posOffset>
              </wp:positionV>
              <wp:extent cx="3877310" cy="70294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702945"/>
                      </a:xfrm>
                      <a:prstGeom prst="rect"/>
                      <a:solidFill>
                        <a:srgbClr val="FFFFFF">
                          <a:alpha val="0"/>
                        </a:srgbClr>
                      </a:solidFill>
                    </wps:spPr>
                    <wps:txbx>
                      <w:txbxContent>
                        <w:p>
                          <w:pPr>
                            <w:pStyle w:val="Normal"/>
                            <w:ind w:start="3600" w:end="0"/>
                            <w:rPr>
                              <w:b/>
                              <w:sz w:val="32"/>
                            </w:rPr>
                          </w:pPr>
                          <w:r>
                            <w:rPr>
                              <w:b/>
                              <w:sz w:val="32"/>
                            </w:rPr>
                          </w:r>
                        </w:p>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5.35pt;mso-wrap-distance-left:9.35pt;mso-wrap-distance-right:9.35pt;mso-wrap-distance-top:0pt;mso-wrap-distance-bottom:0pt;margin-top:-28.45pt;mso-position-vertical-relative:text;margin-left:201.3pt;mso-position-horizontal-relative:page">
              <v:fill opacity="0f"/>
              <v:textbox inset="0in,0in,0in,0in">
                <w:txbxContent>
                  <w:p>
                    <w:pPr>
                      <w:pStyle w:val="Normal"/>
                      <w:ind w:start="3600" w:end="0"/>
                      <w:rPr>
                        <w:b/>
                        <w:sz w:val="32"/>
                      </w:rPr>
                    </w:pPr>
                    <w:r>
                      <w:rPr>
                        <w:b/>
                        <w:sz w:val="32"/>
                      </w:rPr>
                    </w:r>
                  </w:p>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b/>
      <w:kern w:val="2"/>
      <w:sz w:val="28"/>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 w:val="right" w:pos="936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aRobH ECT Inter Office Memo.dot</Template>
  <TotalTime>177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2000-01-28T20:50:00Z</dcterms:created>
  <dc:creator>rhemsto</dc:creator>
  <dc:description/>
  <dc:language>en-CA</dc:language>
  <cp:lastModifiedBy>ECT</cp:lastModifiedBy>
  <cp:lastPrinted>1998-03-27T12:05:00Z</cp:lastPrinted>
  <dcterms:modified xsi:type="dcterms:W3CDTF">2000-01-29T00:01:00Z</dcterms:modified>
  <cp:revision>3</cp:revision>
  <dc:subject/>
  <dc:title>Eron Capital &amp; Trade Resources Memo</dc:title>
</cp:coreProperties>
</file>