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Date"/>
        <w:rPr/>
      </w:pPr>
      <w:r>
        <w:rPr/>
        <w:t>September 5, 2001</w:t>
      </w:r>
    </w:p>
    <w:tbl>
      <w:tblPr>
        <w:tblW w:w="8640" w:type="dxa"/>
        <w:jc w:val="start"/>
        <w:tblInd w:w="0" w:type="dxa"/>
        <w:tblLayout w:type="fixed"/>
        <w:tblCellMar>
          <w:top w:w="0" w:type="dxa"/>
          <w:start w:w="0" w:type="dxa"/>
          <w:bottom w:w="0" w:type="dxa"/>
          <w:end w:w="0" w:type="dxa"/>
        </w:tblCellMar>
      </w:tblPr>
      <w:tblGrid>
        <w:gridCol w:w="2290"/>
        <w:gridCol w:w="187"/>
        <w:gridCol w:w="6163"/>
      </w:tblGrid>
      <w:tr>
        <w:trPr>
          <w:trHeight w:val="403" w:hRule="atLeast"/>
        </w:trPr>
        <w:tc>
          <w:tcPr>
            <w:tcW w:w="2290" w:type="dxa"/>
            <w:tcBorders/>
          </w:tcPr>
          <w:p>
            <w:pPr>
              <w:pStyle w:val="LeftColumn"/>
              <w:rPr/>
            </w:pPr>
            <w:r>
              <w:rPr/>
              <w:t>MEMORANDUM TO:</w:t>
            </w:r>
          </w:p>
        </w:tc>
        <w:tc>
          <w:tcPr>
            <w:tcW w:w="187" w:type="dxa"/>
            <w:tcBorders/>
          </w:tcPr>
          <w:p>
            <w:pPr>
              <w:pStyle w:val="Normal"/>
              <w:snapToGrid w:val="false"/>
              <w:rPr/>
            </w:pPr>
            <w:r>
              <w:rPr/>
            </w:r>
          </w:p>
        </w:tc>
        <w:tc>
          <w:tcPr>
            <w:tcW w:w="6163" w:type="dxa"/>
            <w:tcBorders/>
          </w:tcPr>
          <w:p>
            <w:pPr>
              <w:pStyle w:val="To"/>
              <w:spacing w:before="0" w:after="240"/>
              <w:rPr/>
            </w:pPr>
            <w:r>
              <w:rPr/>
              <w:t>Mark Taylor</w:t>
              <w:br/>
              <w:t>Robert Bruce</w:t>
              <w:br/>
              <w:t xml:space="preserve">(Enron Wholesale Services) </w:t>
            </w:r>
          </w:p>
        </w:tc>
      </w:tr>
      <w:tr>
        <w:trPr>
          <w:trHeight w:val="403" w:hRule="atLeast"/>
        </w:trPr>
        <w:tc>
          <w:tcPr>
            <w:tcW w:w="2290" w:type="dxa"/>
            <w:tcBorders/>
          </w:tcPr>
          <w:p>
            <w:pPr>
              <w:pStyle w:val="LeftColumn"/>
              <w:rPr/>
            </w:pPr>
            <w:r>
              <w:rPr/>
              <w:t>FROM:</w:t>
            </w:r>
          </w:p>
        </w:tc>
        <w:tc>
          <w:tcPr>
            <w:tcW w:w="187" w:type="dxa"/>
            <w:tcBorders/>
          </w:tcPr>
          <w:p>
            <w:pPr>
              <w:pStyle w:val="Normal"/>
              <w:snapToGrid w:val="false"/>
              <w:rPr/>
            </w:pPr>
            <w:r>
              <w:rPr/>
            </w:r>
          </w:p>
        </w:tc>
        <w:tc>
          <w:tcPr>
            <w:tcW w:w="6163" w:type="dxa"/>
            <w:tcBorders/>
          </w:tcPr>
          <w:p>
            <w:pPr>
              <w:pStyle w:val="From"/>
              <w:rPr/>
            </w:pPr>
            <w:r>
              <w:rPr/>
              <w:t>Kenneth M. Raisler</w:t>
            </w:r>
          </w:p>
        </w:tc>
      </w:tr>
      <w:tr>
        <w:trPr>
          <w:trHeight w:val="240" w:hRule="atLeast"/>
        </w:trPr>
        <w:tc>
          <w:tcPr>
            <w:tcW w:w="2290" w:type="dxa"/>
            <w:tcBorders/>
          </w:tcPr>
          <w:p>
            <w:pPr>
              <w:pStyle w:val="LeftColumn"/>
              <w:rPr/>
            </w:pPr>
            <w:r>
              <w:rPr/>
              <w:t>RE:</w:t>
            </w:r>
          </w:p>
        </w:tc>
        <w:tc>
          <w:tcPr>
            <w:tcW w:w="187" w:type="dxa"/>
            <w:tcBorders/>
          </w:tcPr>
          <w:p>
            <w:pPr>
              <w:pStyle w:val="Normal"/>
              <w:snapToGrid w:val="false"/>
              <w:rPr>
                <w:u w:val="single"/>
              </w:rPr>
            </w:pPr>
            <w:r>
              <w:rPr>
                <w:u w:val="single"/>
              </w:rPr>
            </w:r>
          </w:p>
        </w:tc>
        <w:tc>
          <w:tcPr>
            <w:tcW w:w="6163" w:type="dxa"/>
            <w:tcBorders/>
          </w:tcPr>
          <w:p>
            <w:pPr>
              <w:pStyle w:val="Subject"/>
              <w:rPr>
                <w:u w:val="single"/>
              </w:rPr>
            </w:pPr>
            <w:r>
              <w:rPr>
                <w:u w:val="single"/>
              </w:rPr>
              <w:t>Market Manipulation</w:t>
            </w:r>
          </w:p>
        </w:tc>
      </w:tr>
    </w:tbl>
    <w:p>
      <w:pPr>
        <w:pStyle w:val="Normal"/>
        <w:rPr/>
      </w:pPr>
      <w:r>
        <w:rPr/>
      </w:r>
    </w:p>
    <w:p>
      <w:pPr>
        <w:pStyle w:val="BodyText"/>
        <w:jc w:val="both"/>
        <w:rPr/>
      </w:pPr>
      <w:r>
        <w:rPr/>
        <w:t xml:space="preserve">Two recent developments in the area of manipulation of the energy markets are worth noting.  </w:t>
      </w:r>
    </w:p>
    <w:p>
      <w:pPr>
        <w:pStyle w:val="BodyText"/>
        <w:rPr>
          <w:u w:val="single"/>
        </w:rPr>
      </w:pPr>
      <w:r>
        <w:rPr>
          <w:u w:val="single"/>
        </w:rPr>
        <w:t>Avista Energy, Inc.</w:t>
      </w:r>
    </w:p>
    <w:p>
      <w:pPr>
        <w:pStyle w:val="BodyText"/>
        <w:jc w:val="both"/>
        <w:rPr/>
      </w:pPr>
      <w:r>
        <w:rPr/>
        <w:t>In late August the Commodity Futures Trading Commission (CFTC) announced a settlement against Avista Energy, Inc. and certain officers and traders.</w:t>
      </w:r>
      <w:r>
        <w:rPr>
          <w:rStyle w:val="FootnoteCharacters"/>
          <w:rStyle w:val="FootnoteReference"/>
        </w:rPr>
        <w:footnoteReference w:customMarkFollows="1" w:id="2"/>
        <w:t>*</w:t>
      </w:r>
      <w:r>
        <w:rPr/>
        <w:t xml:space="preserve">  Avista and the others were charged with manipulating the settlement price of Palo Verde (PV) and California Oregon Border (COB) electricity futures contracts traded on the NYMEX.  The allegation is that Avista put in large orders for electricity futures contracts on the expiration day of options trading in order to effect  its cash-settled over-the-counter (OTC) derivatives positions.  It is alleged that the losses on futures trading were more than offset by the artificial movement in the daily settlement price and the resulting profits on Avista’s OTC positions.  This “leverage play” has been a topic of our discussions and compliance program over the years.  Avista paid a monetary penalty of $2.1 million and the individuals paid smaller fines and agreed to trading bans.  </w:t>
      </w:r>
    </w:p>
    <w:p>
      <w:pPr>
        <w:pStyle w:val="BodyText"/>
        <w:rPr>
          <w:u w:val="single"/>
        </w:rPr>
      </w:pPr>
      <w:r>
        <w:rPr>
          <w:u w:val="single"/>
        </w:rPr>
        <w:t>AGA Storage Survey</w:t>
      </w:r>
    </w:p>
    <w:p>
      <w:pPr>
        <w:pStyle w:val="BodyText"/>
        <w:jc w:val="both"/>
        <w:rPr/>
      </w:pPr>
      <w:r>
        <w:rPr/>
        <w:t xml:space="preserve">Gas Daily reported on August 27, 2001, that the CFTC was meeting with the American Gas Association (AGA) to discuss its storage survey.  Gas Daily reported that, because of incorrect data, AGA published substantially incorrect gas injection figures.  A gas trader said he filed a complaint with the CFTC arguing that the AGA survey is susceptible to manipulation by reporting companies who are looking to make unfair profits on the reporting of inaccurate storage data.  By knowingly submitting false data with knowledge that it would be revised, a company could potentially profit from its false information.  The CFTC has not confirmed this report.  As you are aware, the issue of reporting data that is used in pricing and its potential manipulative affect also has been a topic of our discussions and our compliance program.  </w:t>
      </w:r>
    </w:p>
    <w:p>
      <w:pPr>
        <w:pStyle w:val="BodyText"/>
        <w:jc w:val="both"/>
        <w:rPr/>
      </w:pPr>
      <w:r>
        <w:rPr/>
        <w:t>It is critical to stay apprised of this increased level of scrutiny by the CFTC, and its potential impact on your businesses.  If you have any questions or seek more detail on these two matters, please contact us.</w:t>
      </w:r>
    </w:p>
    <w:p>
      <w:pPr>
        <w:pStyle w:val="BodyText"/>
        <w:rPr/>
      </w:pPr>
      <w:r>
        <w:rPr/>
      </w:r>
    </w:p>
    <w:p>
      <w:pPr>
        <w:pStyle w:val="Initials"/>
        <w:rPr/>
      </w:pPr>
      <w:r>
        <w:rPr/>
        <w:t>K.M.R.</w:t>
      </w:r>
    </w:p>
    <w:p>
      <w:pPr>
        <w:pStyle w:val="Normal"/>
        <w:rPr/>
      </w:pPr>
      <w:r>
        <w:rPr/>
      </w:r>
    </w:p>
    <w:p>
      <w:pPr>
        <w:pStyle w:val="BodyText"/>
        <w:rPr/>
      </w:pPr>
      <w:r>
        <w:rPr/>
      </w:r>
    </w:p>
    <w:p>
      <w:pPr>
        <w:pStyle w:val="Initials"/>
        <w:rPr/>
      </w:pPr>
      <w:r>
        <w:rPr/>
      </w:r>
    </w:p>
    <w:p>
      <w:pPr>
        <w:pStyle w:val="Normal"/>
        <w:rPr/>
      </w:pPr>
      <w:r>
        <w:rPr/>
      </w:r>
    </w:p>
    <w:sectPr>
      <w:footerReference w:type="default" r:id="rId2"/>
      <w:footerReference w:type="first" r:id="rId3"/>
      <w:footnotePr>
        <w:numFmt w:val="decimal"/>
      </w:footnotePr>
      <w:type w:val="nextPage"/>
      <w:pgSz w:w="12240" w:h="15840"/>
      <w:pgMar w:left="1440" w:right="1440" w:gutter="0" w:header="0" w:top="1915"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mdITC Bk BT">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b/>
        <w:t xml:space="preserve">Certain other traders and NYMEX floor brokers were also charged but did not settle.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SCTitle">
    <w:name w:val="S&amp;C Title"/>
    <w:basedOn w:val="Normal"/>
    <w:qFormat/>
    <w:pPr>
      <w:spacing w:before="0" w:after="360"/>
      <w:ind w:hanging="0" w:start="-963" w:end="0"/>
    </w:pPr>
    <w:rPr>
      <w:rFonts w:ascii="GarmdITC Bk BT" w:hAnsi="GarmdITC Bk BT" w:cs="GarmdITC Bk BT"/>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before="240" w:after="480"/>
      <w:ind w:hanging="0" w:start="5760" w:end="0"/>
    </w:pPr>
    <w:rPr/>
  </w:style>
  <w:style w:type="paragraph" w:styleId="To">
    <w:name w:val="To"/>
    <w:basedOn w:val="Normal"/>
    <w:qFormat/>
    <w:pPr>
      <w:spacing w:before="0" w:after="240"/>
    </w:pPr>
    <w:rPr/>
  </w:style>
  <w:style w:type="paragraph" w:styleId="Company">
    <w:name w:val="Company"/>
    <w:basedOn w:val="Normal"/>
    <w:qFormat/>
    <w:pPr>
      <w:spacing w:before="0" w:after="240"/>
    </w:pPr>
    <w:rPr/>
  </w:style>
  <w:style w:type="paragraph" w:styleId="From">
    <w:name w:val="From"/>
    <w:basedOn w:val="Normal"/>
    <w:qFormat/>
    <w:pPr/>
    <w:rPr/>
  </w:style>
  <w:style w:type="paragraph" w:styleId="Subject">
    <w:name w:val="Subject"/>
    <w:basedOn w:val="Normal"/>
    <w:qFormat/>
    <w:pPr/>
    <w:rPr/>
  </w:style>
  <w:style w:type="paragraph" w:styleId="Initials">
    <w:name w:val="Initials"/>
    <w:basedOn w:val="Normal"/>
    <w:qFormat/>
    <w:pPr>
      <w:spacing w:before="0" w:after="240"/>
      <w:ind w:hanging="0" w:start="5760" w:end="0"/>
    </w:pPr>
    <w:rPr/>
  </w:style>
  <w:style w:type="paragraph" w:styleId="cc">
    <w:name w:val="cc"/>
    <w:basedOn w:val="Normal"/>
    <w:qFormat/>
    <w:pPr>
      <w:spacing w:before="0" w:after="240"/>
      <w:ind w:hanging="720" w:start="720" w:end="0"/>
    </w:pPr>
    <w:rPr/>
  </w:style>
  <w:style w:type="paragraph" w:styleId="bcc">
    <w:name w:val="bcc"/>
    <w:basedOn w:val="Normal"/>
    <w:qFormat/>
    <w:pPr>
      <w:spacing w:before="0" w:after="240"/>
      <w:ind w:hanging="720" w:start="720" w:end="0"/>
    </w:pPr>
    <w:rPr/>
  </w:style>
  <w:style w:type="paragraph" w:styleId="LeftColumn">
    <w:name w:val="LeftColumn"/>
    <w:basedOn w:val="Normal"/>
    <w:qFormat/>
    <w:pPr>
      <w:jc w:val="end"/>
    </w:pPr>
    <w:rPr/>
  </w:style>
  <w:style w:type="paragraph" w:styleId="Attachments">
    <w:name w:val="Attachments"/>
    <w:basedOn w:val="Normal"/>
    <w:qFormat/>
    <w:pPr/>
    <w:rPr/>
  </w:style>
  <w:style w:type="paragraph" w:styleId="DeliveryMethod">
    <w:name w:val="DeliveryMethod"/>
    <w:basedOn w:val="Normal"/>
    <w:qFormat/>
    <w:pPr>
      <w:spacing w:before="0" w:after="240"/>
    </w:pPr>
    <w:rPr>
      <w:u w:val="single"/>
    </w:rPr>
  </w:style>
  <w:style w:type="paragraph" w:styleId="DraftLine">
    <w:name w:val="DraftLine"/>
    <w:basedOn w:val="Normal"/>
    <w:qFormat/>
    <w:pPr>
      <w:jc w:val="end"/>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Divider">
    <w:name w:val="Divider"/>
    <w:basedOn w:val="Normal"/>
    <w:qFormat/>
    <w:pPr/>
    <w:rPr>
      <w:sz w:val="16"/>
    </w:rPr>
  </w:style>
  <w:style w:type="paragraph" w:styleId="SCFileStamp">
    <w:name w:val="S&amp;CFileStamp"/>
    <w:basedOn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2001-09-05T11:29:00Z</dcterms:created>
  <dc:creator>cerratc</dc:creator>
  <dc:description/>
  <dc:language>en-CA</dc:language>
  <cp:lastModifiedBy>cerratc</cp:lastModifiedBy>
  <cp:lastPrinted>2001-09-05T09:17:00Z</cp:lastPrinted>
  <dcterms:modified xsi:type="dcterms:W3CDTF">2001-09-05T11:29:00Z</dcterms:modified>
  <cp:revision>2</cp:revision>
  <dc:subject/>
  <dc:title>SULLIVAN &amp; CROMWELL</dc:title>
</cp:coreProperties>
</file>