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CTitle"/>
        <w:ind w:firstLine="963" w:end="0"/>
        <w:rPr/>
      </w:pPr>
      <w:r>
        <w:rPr/>
        <w:t>SULLIVAN &amp; CROMWELL</w:t>
      </w:r>
    </w:p>
    <w:p>
      <w:pPr>
        <w:pStyle w:val="Date"/>
        <w:rPr/>
      </w:pPr>
      <w:r>
        <w:rPr/>
        <w:t>March 14, 2001</w:t>
      </w:r>
    </w:p>
    <w:tbl>
      <w:tblPr>
        <w:tblW w:w="8640" w:type="dxa"/>
        <w:jc w:val="start"/>
        <w:tblInd w:w="0" w:type="dxa"/>
        <w:tblLayout w:type="fixed"/>
        <w:tblCellMar>
          <w:top w:w="0" w:type="dxa"/>
          <w:start w:w="0" w:type="dxa"/>
          <w:bottom w:w="0" w:type="dxa"/>
          <w:end w:w="0" w:type="dxa"/>
        </w:tblCellMar>
      </w:tblPr>
      <w:tblGrid>
        <w:gridCol w:w="2290"/>
        <w:gridCol w:w="187"/>
        <w:gridCol w:w="6163"/>
      </w:tblGrid>
      <w:tr>
        <w:trPr>
          <w:trHeight w:val="403" w:hRule="atLeast"/>
        </w:trPr>
        <w:tc>
          <w:tcPr>
            <w:tcW w:w="2290" w:type="dxa"/>
            <w:tcBorders/>
          </w:tcPr>
          <w:p>
            <w:pPr>
              <w:pStyle w:val="LeftColumn"/>
              <w:rPr/>
            </w:pPr>
            <w:r>
              <w:rPr/>
              <w:t>MEMORANDUM TO:</w:t>
            </w:r>
          </w:p>
        </w:tc>
        <w:tc>
          <w:tcPr>
            <w:tcW w:w="187" w:type="dxa"/>
            <w:tcBorders/>
          </w:tcPr>
          <w:p>
            <w:pPr>
              <w:pStyle w:val="Normal"/>
              <w:snapToGrid w:val="false"/>
              <w:rPr/>
            </w:pPr>
            <w:r>
              <w:rPr/>
            </w:r>
          </w:p>
        </w:tc>
        <w:tc>
          <w:tcPr>
            <w:tcW w:w="6163" w:type="dxa"/>
            <w:tcBorders/>
          </w:tcPr>
          <w:p>
            <w:pPr>
              <w:pStyle w:val="To"/>
              <w:spacing w:before="0" w:after="240"/>
              <w:rPr/>
            </w:pPr>
            <w:r>
              <w:rPr/>
              <w:t xml:space="preserve">Energy Group </w:t>
            </w:r>
          </w:p>
        </w:tc>
      </w:tr>
      <w:tr>
        <w:trPr>
          <w:trHeight w:val="403" w:hRule="atLeast"/>
        </w:trPr>
        <w:tc>
          <w:tcPr>
            <w:tcW w:w="2290" w:type="dxa"/>
            <w:tcBorders/>
          </w:tcPr>
          <w:p>
            <w:pPr>
              <w:pStyle w:val="LeftColumn"/>
              <w:rPr/>
            </w:pPr>
            <w:r>
              <w:rPr/>
              <w:t>FROM:</w:t>
            </w:r>
          </w:p>
        </w:tc>
        <w:tc>
          <w:tcPr>
            <w:tcW w:w="187" w:type="dxa"/>
            <w:tcBorders/>
          </w:tcPr>
          <w:p>
            <w:pPr>
              <w:pStyle w:val="Normal"/>
              <w:snapToGrid w:val="false"/>
              <w:rPr/>
            </w:pPr>
            <w:r>
              <w:rPr/>
            </w:r>
          </w:p>
        </w:tc>
        <w:tc>
          <w:tcPr>
            <w:tcW w:w="6163" w:type="dxa"/>
            <w:tcBorders/>
          </w:tcPr>
          <w:p>
            <w:pPr>
              <w:pStyle w:val="From"/>
              <w:rPr/>
            </w:pPr>
            <w:r>
              <w:rPr/>
              <w:t>Kenneth M. Raisler</w:t>
            </w:r>
          </w:p>
        </w:tc>
      </w:tr>
      <w:tr>
        <w:trPr>
          <w:trHeight w:val="240" w:hRule="atLeast"/>
        </w:trPr>
        <w:tc>
          <w:tcPr>
            <w:tcW w:w="2290" w:type="dxa"/>
            <w:tcBorders/>
          </w:tcPr>
          <w:p>
            <w:pPr>
              <w:pStyle w:val="LeftColumn"/>
              <w:rPr/>
            </w:pPr>
            <w:r>
              <w:rPr/>
              <w:t>RE:</w:t>
            </w:r>
          </w:p>
        </w:tc>
        <w:tc>
          <w:tcPr>
            <w:tcW w:w="187" w:type="dxa"/>
            <w:tcBorders/>
          </w:tcPr>
          <w:p>
            <w:pPr>
              <w:pStyle w:val="Normal"/>
              <w:snapToGrid w:val="false"/>
              <w:rPr>
                <w:u w:val="single"/>
              </w:rPr>
            </w:pPr>
            <w:r>
              <w:rPr>
                <w:u w:val="single"/>
              </w:rPr>
            </w:r>
          </w:p>
        </w:tc>
        <w:tc>
          <w:tcPr>
            <w:tcW w:w="6163" w:type="dxa"/>
            <w:tcBorders/>
          </w:tcPr>
          <w:p>
            <w:pPr>
              <w:pStyle w:val="Subject"/>
              <w:tabs>
                <w:tab w:val="clear" w:pos="720"/>
                <w:tab w:val="right" w:pos="5983" w:leader="none"/>
              </w:tabs>
              <w:rPr/>
            </w:pPr>
            <w:r>
              <w:rPr/>
              <w:t xml:space="preserve">CFTC Proposed Rules Implementing the Commodity Futures </w:t>
            </w:r>
            <w:r>
              <w:rPr>
                <w:u w:val="single"/>
              </w:rPr>
              <w:t>Modernization Act of 2000</w:t>
              <w:tab/>
            </w:r>
          </w:p>
        </w:tc>
      </w:tr>
    </w:tbl>
    <w:p>
      <w:pPr>
        <w:pStyle w:val="Normal"/>
        <w:rPr/>
      </w:pPr>
      <w:r>
        <w:rPr/>
      </w:r>
    </w:p>
    <w:p>
      <w:pPr>
        <w:pStyle w:val="BodyText"/>
        <w:jc w:val="both"/>
        <w:rPr/>
      </w:pPr>
      <w:r>
        <w:rPr/>
        <w:t>On March 9, 2001, the Federal Register published the CFTC’s Proposed Rules for A New Regulatory Framework for Trading Facilities, Intermediaries and Clearing Organizations (“Proposed Rules”).  66 F.R. 14262.  Comments are due on the Proposed Rules by April 9, 2001.</w:t>
      </w:r>
    </w:p>
    <w:p>
      <w:pPr>
        <w:pStyle w:val="BodyText"/>
        <w:jc w:val="both"/>
        <w:rPr/>
      </w:pPr>
      <w:r>
        <w:rPr/>
        <w:t xml:space="preserve">The Proposed Rules are designed to implement certain provisions of the Commodity Futures Modernization Act of 2000 (the “CFMA”).  The CFTC received special dispensation from the still-ongoing White House moratorium on new regulations to propose these rules in order to satisfy the mandate of Congress.  </w:t>
      </w:r>
    </w:p>
    <w:p>
      <w:pPr>
        <w:pStyle w:val="BodyText"/>
        <w:jc w:val="both"/>
        <w:rPr/>
      </w:pPr>
      <w:r>
        <w:rPr/>
        <w:t>As discussed in our memorandum to clients and in our memorandum to the Energy Group, both in December 2000, three parts of the CFMA specifically address trading in physical commodities, including energy and metals.  The first, and most important, part addresses legal certainty for over-the-counter (“OTC”) derivatives transactions in physical commodities.  Generally, as previously addressed, the CFTC retains only limited antifraud authority with respect to any “contract, agreement or transaction” in an “exempt commodity” (generally all physical commodities except for agricultural commodities) which is entered into between “eligible contract participants” and is not entered into on a “trading facility”.  With respect to such OTC transactions, the relevant provisions of the CFMA are self-effectuating and there is no need or authority for CFTC rulemaking.  As a result, the Proposed Rules properly do not address this OTC area.</w:t>
      </w:r>
      <w:r>
        <w:rPr>
          <w:rStyle w:val="FootnoteCharacters"/>
          <w:rStyle w:val="FootnoteReference"/>
        </w:rPr>
        <w:footnoteReference w:customMarkFollows="1" w:id="2"/>
        <w:t>*</w:t>
      </w:r>
    </w:p>
    <w:p>
      <w:pPr>
        <w:pStyle w:val="BodyText"/>
        <w:jc w:val="both"/>
        <w:rPr/>
      </w:pPr>
      <w:r>
        <w:rPr/>
        <w:t xml:space="preserve">The other two parts of the CFMA that deal with trading in physical commodities are addressed in the Proposed Rules.  These are Exempt Electronic Trading Facilities in physical commodities and Commercial Derivatives Transaction Execution Facilities.  </w:t>
      </w:r>
    </w:p>
    <w:p>
      <w:pPr>
        <w:pStyle w:val="BodyText"/>
        <w:rPr>
          <w:u w:val="single"/>
        </w:rPr>
      </w:pPr>
      <w:r>
        <w:rPr>
          <w:u w:val="single"/>
        </w:rPr>
        <w:t>Exempt Electronic Trading Facilities</w:t>
      </w:r>
    </w:p>
    <w:p>
      <w:pPr>
        <w:pStyle w:val="BodyText"/>
        <w:jc w:val="both"/>
        <w:rPr/>
      </w:pPr>
      <w:r>
        <w:rPr/>
        <w:t>As set forth in our earlier memoranda, the CFMA permits the establishment of electronic trading facilities in physical commodities with limited CFTC jurisdiction provided that transactions are on a principal-to-principal basis between eligible commercial entities.</w:t>
      </w:r>
      <w:r>
        <w:rPr>
          <w:rStyle w:val="FootnoteCharacters"/>
          <w:rStyle w:val="FootnoteReference"/>
        </w:rPr>
        <w:footnoteReference w:customMarkFollows="1" w:id="3"/>
        <w:t>*</w:t>
      </w:r>
      <w:r>
        <w:rPr>
          <w:rStyle w:val="FootnoteCharacters"/>
        </w:rPr>
        <w:t>*</w:t>
      </w:r>
      <w:r>
        <w:rPr/>
        <w:t xml:space="preserve">  The CFTC retains only antifraud and antimanipulation authority and can, if it determines that the electronic trading facility performs a significant price discovery function, require the electronic trading facility to disseminate price, trading volume, and other trading data.  </w:t>
      </w:r>
    </w:p>
    <w:p>
      <w:pPr>
        <w:pStyle w:val="BodyText"/>
        <w:jc w:val="both"/>
        <w:rPr/>
      </w:pPr>
      <w:r>
        <w:rPr/>
        <w:t xml:space="preserve">New Part 36 of the Proposed Rules addresses the procedures applicable to exempt electronic trading facilities under the CFMA.  The CFMA requires and Part 36.3 sets forth the procedures for “Notification of Operation as Exempt Commercial Market” (“ECM”).   The ECM must either: </w:t>
      </w:r>
    </w:p>
    <w:p>
      <w:pPr>
        <w:pStyle w:val="BodyTextIndent"/>
        <w:ind w:hanging="720" w:start="2880" w:end="0"/>
        <w:jc w:val="both"/>
        <w:rPr/>
      </w:pPr>
      <w:r>
        <w:rPr/>
        <w:t>1)</w:t>
        <w:tab/>
        <w:t>provide the CFTC with access to the facility’s trading protocols and electronic access to transactions conducted on the facility in reliance on such exemption; or</w:t>
      </w:r>
    </w:p>
    <w:p>
      <w:pPr>
        <w:pStyle w:val="BodyTextFirstIndent"/>
        <w:ind w:hanging="720" w:start="2880" w:end="0"/>
        <w:jc w:val="both"/>
        <w:rPr/>
      </w:pPr>
      <w:r>
        <w:rPr/>
        <w:t>2)</w:t>
        <w:tab/>
        <w:t>attach its initial trading protocols and the amendments thereto in hard copy form to the notification and periodically provide, in a manner acceptable to the CFTC, information regarding transactions by large traders on the facility.</w:t>
      </w:r>
    </w:p>
    <w:p>
      <w:pPr>
        <w:pStyle w:val="BodyText"/>
        <w:jc w:val="both"/>
        <w:rPr/>
      </w:pPr>
      <w:r>
        <w:rPr/>
        <w:t xml:space="preserve">This second requirement, which the CFTC in its Federal Register release describes as providing information “comparable in coverage and frequency to that provided to the CFTC by its large trader reporter system”, 66 F.R. 14265, goes beyond the requirements of the CFMA.  Part 36 also requires that an exempt electronic trading facility have a reasonable basis for believing that its authorized participants are “eligible commercial entities” as defined in the CFMA and require such participants to comply with all applicable laws.  Again, these requirements go beyond the provisions of the CFMA.  Finally, while the CFMA provides that an ECM cannot represent that it is regulated by the CFTC, the Federal Register invites comment on whether the CFTC should require that ECMs affirmatively disclose to traders that trading on the facility is not regulated or approved by the CFTC.  The CFMA also does not require such affirmative disclosure.  </w:t>
      </w:r>
    </w:p>
    <w:p>
      <w:pPr>
        <w:pStyle w:val="BodyText"/>
        <w:rPr>
          <w:u w:val="single"/>
        </w:rPr>
      </w:pPr>
      <w:r>
        <w:rPr>
          <w:u w:val="single"/>
        </w:rPr>
        <w:t>Derivative Transaction Execution Facilities (“DTEFs”)</w:t>
      </w:r>
    </w:p>
    <w:p>
      <w:pPr>
        <w:pStyle w:val="BodyText"/>
        <w:jc w:val="both"/>
        <w:rPr/>
      </w:pPr>
      <w:r>
        <w:rPr/>
        <w:t>The Proposed Rules include the terms and conditions for being regulated as a commercial DTEF.  DTEFs are subject to CFTC regulation but are a less regulated form of trading facility than a fully regulated contract market.  In particular, however, a commercial DTEF would have to limit access to the facility to eligible commercial entities trading for their own account.  Effectively, this category overlaps with the ECM and only in those situations where an organization wishes to be regulated by the CFTC would an organization be required to register as a commercial DTEF.</w:t>
      </w:r>
      <w:r>
        <w:rPr>
          <w:rStyle w:val="FootnoteCharacters"/>
          <w:rStyle w:val="FootnoteReference"/>
        </w:rPr>
        <w:footnoteReference w:customMarkFollows="1" w:id="4"/>
        <w:t>*</w:t>
      </w:r>
      <w:r>
        <w:rPr/>
        <w:t xml:space="preserve">  </w:t>
      </w:r>
    </w:p>
    <w:p>
      <w:pPr>
        <w:pStyle w:val="BodyText"/>
        <w:jc w:val="both"/>
        <w:rPr/>
      </w:pPr>
      <w:r>
        <w:rPr/>
        <w:t>Part 37 of the Proposed Rules addresses the application for a commercial DTEF which must include the DTEF’s rules (which may be trading protocols) and any agreements, technical manuals or other documents that describe the facility’s trading mechanism and any tests conducted.  Applicants to be commercial DTEFs are eligible for “fast-track” review and would be deemed to be registered as a DTEF 30 days after submission of a complete application unless the CFTC notifies the entity otherwise.  The Proposed Rules also include proposed “core principles” for DTEFs.  These core principles are limited to monitoring trading and enforcing compliance with rules, making certain information available if the CFTC deems it relevant, record keeping, fitness requirements and potential conflicts of interest.  New registrants could either voluntarily demonstrate compliance with core principles at least 30 days before they begin operation or certify when they commence operation that they have the capacity to and will operate in compliance with the core principles.  A DTEF must file evidence of compliance with the core principles if the CFTC so requests.  The Proposed Rules also includes an Appendix B to proposed Part 37 providing guidance on how a DTEF can demonstrate compliance with the core principles.</w:t>
      </w:r>
    </w:p>
    <w:p>
      <w:pPr>
        <w:pStyle w:val="BodyText"/>
        <w:jc w:val="center"/>
        <w:rPr/>
      </w:pPr>
      <w:r>
        <w:rPr/>
        <w:t>*</w:t>
        <w:tab/>
        <w:tab/>
        <w:tab/>
        <w:t>*</w:t>
        <w:tab/>
        <w:tab/>
        <w:tab/>
        <w:t>*</w:t>
      </w:r>
    </w:p>
    <w:p>
      <w:pPr>
        <w:pStyle w:val="BodyText"/>
        <w:jc w:val="both"/>
        <w:rPr/>
      </w:pPr>
      <w:r>
        <w:rPr/>
        <w:t>The Proposed Rules are available on the CFTC’s website at www.cftc.gov.  We will soon be sending you a Memorandum to Clients which will address the entirety of the CFTC’s Proposed Rules.  Generally, the CFTC’s Proposed Rules follow the mandate of the CFMA.  In some narrow respects, we believe that the CFTC may have gone beyond the statutory direction.  We believe it appropriate to submit a comment letter to the CFTC on the Proposed Rules on behalf of the Energy Group to endorse the CFTC’s rulemaking in the areas addressed in this memorandum and to provide constructive criticism in those few areas where the Proposed Rules go beyond the CFMA.  It would be our intention to draft and circulate a comment letter to you in the near future.  Please let us know if you have any objection to this procedure.  Otherwise we look forward to your comments on the draft comment letter.</w:t>
      </w:r>
    </w:p>
    <w:p>
      <w:pPr>
        <w:pStyle w:val="Initials"/>
        <w:rPr/>
      </w:pPr>
      <w:r>
        <w:rPr/>
        <w:t>K.M.R.</w:t>
      </w:r>
    </w:p>
    <w:p>
      <w:pPr>
        <w:pStyle w:val="Normal"/>
        <w:rPr/>
      </w:pPr>
      <w:r>
        <w:rPr/>
      </w:r>
    </w:p>
    <w:sectPr>
      <w:footerReference w:type="default" r:id="rId2"/>
      <w:footerReference w:type="first" r:id="rId3"/>
      <w:footnotePr>
        <w:numFmt w:val="decimal"/>
      </w:footnotePr>
      <w:type w:val="nextPage"/>
      <w:pgSz w:w="12240" w:h="15840"/>
      <w:pgMar w:left="1440" w:right="1440" w:gutter="0" w:header="0" w:top="1915" w:footer="965" w:bottom="102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mdITC Bk BT">
    <w:charset w:val="00" w:characterSet="windows-1252"/>
    <w:family w:val="roman"/>
    <w:pitch w:val="variable"/>
  </w:font>
  <w:font w:name="Tahoma">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17716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3.95pt;height:13.8pt;mso-wrap-distance-left:0pt;mso-wrap-distance-right:0pt;mso-wrap-distance-top:0pt;mso-wrap-distance-bottom:0pt;margin-top:0.05pt;mso-position-vertical-relative:text;margin-left:227.0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ind w:hanging="720" w:start="720" w:end="0"/>
        <w:jc w:val="both"/>
        <w:rPr/>
      </w:pPr>
      <w:r>
        <w:rPr>
          <w:rStyle w:val="FootnoteCharacters"/>
        </w:rPr>
        <w:t>*</w:t>
      </w:r>
      <w:r>
        <w:rPr/>
        <w:t xml:space="preserve"> </w:t>
      </w:r>
      <w:r>
        <w:rPr/>
        <w:tab/>
        <w:t>Legal uncertainty remains with respect to certain OTC transactions in agricultural commodities.  However, since Congress did not address relief for agricultural commodities in the CFMA, the CFTC did not believe it had authority to address further relief for such products in the Proposed Rules in light of the moratorium.  The CFTC intends to address greater legal certainty for agricultural OTC derivatives in the near future.  Included in this undertaking is a need to define which agricultural products are included within the definition “agricultural commodity” since “agricultural commodity” is not defined in the CFMA.  In the meantime, the existing CFTC Swaps Exemption, Part 35, continues in effect and applies to agricultural commodities (as a general matter, in all other respects, Part 35 has been superseded by the CFMA).</w:t>
      </w:r>
    </w:p>
    <w:p>
      <w:pPr>
        <w:pStyle w:val="FootnoteText"/>
        <w:rPr/>
      </w:pPr>
      <w:r>
        <w:rPr/>
      </w:r>
    </w:p>
  </w:footnote>
  <w:footnote w:id="3">
    <w:p>
      <w:pPr>
        <w:pStyle w:val="FootnoteText"/>
        <w:ind w:hanging="720" w:start="720" w:end="0"/>
        <w:jc w:val="both"/>
        <w:rPr/>
      </w:pPr>
      <w:r>
        <w:rPr>
          <w:rStyle w:val="FootnoteCharacters"/>
        </w:rPr>
        <w:t>*</w:t>
      </w:r>
      <w:r>
        <w:rPr>
          <w:rStyle w:val="FootnoteCharacters"/>
        </w:rPr>
        <w:t>*</w:t>
      </w:r>
      <w:r>
        <w:rPr/>
        <w:t xml:space="preserve"> </w:t>
        <w:tab/>
        <w:t>In Part 37.1(b) of the Proposed Rules, the CFTC proposes to add floor brokers and floor traders to the statutorily defined categories of eligible commercial entities. This proposal is consistent with the CFMA’s inclusion of certain types of liquidity providers within the statutory definition of “eligible commercial entity”.  The Federal Register also requests comment on other expansions to the definition of “eligible commercial entity” to include other entities that perform market-making functions on electronic trading facilities.</w:t>
      </w:r>
    </w:p>
    <w:p>
      <w:pPr>
        <w:pStyle w:val="FootnoteText"/>
        <w:rPr/>
      </w:pPr>
      <w:r>
        <w:rPr/>
      </w:r>
    </w:p>
    <w:p>
      <w:pPr>
        <w:pStyle w:val="FootnoteText"/>
        <w:rPr/>
      </w:pPr>
      <w:r>
        <w:rPr/>
      </w:r>
    </w:p>
  </w:footnote>
  <w:footnote w:id="4">
    <w:p>
      <w:pPr>
        <w:pStyle w:val="FootnoteText"/>
        <w:ind w:hanging="720" w:start="720" w:end="0"/>
        <w:jc w:val="both"/>
        <w:rPr/>
      </w:pPr>
      <w:r>
        <w:rPr>
          <w:rStyle w:val="FootnoteCharacters"/>
        </w:rPr>
        <w:t>*</w:t>
      </w:r>
      <w:r>
        <w:rPr/>
        <w:t xml:space="preserve"> </w:t>
      </w:r>
      <w:r>
        <w:rPr/>
        <w:tab/>
        <w:t>Such regulation may provide the benefits of allowing the platform to more easily passport into foreign jurisdictions; improve its global credibility including its ability to deal with fiduciaries; limit, to some extent, its antitrust exposure; and avoid potential regulation from another regulator because it would be subject to exclusive CFTC jurisdiction.</w:t>
      </w:r>
    </w:p>
    <w:p>
      <w:pPr>
        <w:pStyle w:val="FootnoteText"/>
        <w:ind w:hanging="720" w:start="720" w:end="0"/>
        <w:jc w:val="both"/>
        <w:rPr/>
      </w:pPr>
      <w:r>
        <w:rPr/>
      </w:r>
    </w:p>
    <w:p>
      <w:pPr>
        <w:pStyle w:val="FootnoteText"/>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outlineLvl w:val="0"/>
    </w:pPr>
    <w:rPr>
      <w:b/>
    </w:rPr>
  </w:style>
  <w:style w:type="paragraph" w:styleId="Heading2">
    <w:name w:val="heading 2"/>
    <w:basedOn w:val="Normal"/>
    <w:next w:val="BodyText"/>
    <w:qFormat/>
    <w:pPr>
      <w:keepNext w:val="true"/>
      <w:numPr>
        <w:ilvl w:val="1"/>
        <w:numId w:val="1"/>
      </w:numPr>
      <w:spacing w:before="0" w:after="240"/>
      <w:outlineLvl w:val="1"/>
    </w:pPr>
    <w:rPr/>
  </w:style>
  <w:style w:type="paragraph" w:styleId="Heading3">
    <w:name w:val="heading 3"/>
    <w:basedOn w:val="Normal"/>
    <w:next w:val="Normal"/>
    <w:qFormat/>
    <w:pPr>
      <w:numPr>
        <w:ilvl w:val="2"/>
        <w:numId w:val="1"/>
      </w:numPr>
      <w:spacing w:before="0" w:after="240"/>
      <w:outlineLvl w:val="2"/>
    </w:pPr>
    <w:rPr/>
  </w:style>
  <w:style w:type="paragraph" w:styleId="Heading4">
    <w:name w:val="heading 4"/>
    <w:basedOn w:val="Normal"/>
    <w:next w:val="Normal"/>
    <w:qFormat/>
    <w:pPr>
      <w:numPr>
        <w:ilvl w:val="3"/>
        <w:numId w:val="1"/>
      </w:numPr>
      <w:spacing w:before="0" w:after="240"/>
      <w:outlineLvl w:val="3"/>
    </w:pPr>
    <w:rPr/>
  </w:style>
  <w:style w:type="paragraph" w:styleId="Heading5">
    <w:name w:val="heading 5"/>
    <w:basedOn w:val="Normal"/>
    <w:next w:val="Normal"/>
    <w:qFormat/>
    <w:pPr>
      <w:numPr>
        <w:ilvl w:val="4"/>
        <w:numId w:val="1"/>
      </w:numPr>
      <w:spacing w:before="0" w:after="240"/>
      <w:outlineLvl w:val="4"/>
    </w:pPr>
    <w:rPr/>
  </w:style>
  <w:style w:type="paragraph" w:styleId="Heading6">
    <w:name w:val="heading 6"/>
    <w:basedOn w:val="Normal"/>
    <w:next w:val="Normal"/>
    <w:qFormat/>
    <w:pPr>
      <w:numPr>
        <w:ilvl w:val="5"/>
        <w:numId w:val="1"/>
      </w:numPr>
      <w:spacing w:before="0" w:after="240"/>
      <w:outlineLvl w:val="5"/>
    </w:pPr>
    <w:rPr/>
  </w:style>
  <w:style w:type="paragraph" w:styleId="Heading7">
    <w:name w:val="heading 7"/>
    <w:basedOn w:val="Normal"/>
    <w:next w:val="Normal"/>
    <w:qFormat/>
    <w:pPr>
      <w:numPr>
        <w:ilvl w:val="6"/>
        <w:numId w:val="1"/>
      </w:numPr>
      <w:spacing w:before="0" w:after="240"/>
      <w:outlineLvl w:val="6"/>
    </w:pPr>
    <w:rPr/>
  </w:style>
  <w:style w:type="paragraph" w:styleId="Heading8">
    <w:name w:val="heading 8"/>
    <w:basedOn w:val="Normal"/>
    <w:next w:val="Normal"/>
    <w:qFormat/>
    <w:pPr>
      <w:numPr>
        <w:ilvl w:val="7"/>
        <w:numId w:val="1"/>
      </w:numPr>
      <w:spacing w:before="0" w:after="240"/>
      <w:outlineLvl w:val="7"/>
    </w:pPr>
    <w:rPr/>
  </w:style>
  <w:style w:type="paragraph" w:styleId="Heading9">
    <w:name w:val="heading 9"/>
    <w:basedOn w:val="Normal"/>
    <w:next w:val="Normal"/>
    <w:qFormat/>
    <w:pPr>
      <w:numPr>
        <w:ilvl w:val="8"/>
        <w:numId w:val="1"/>
      </w:numPr>
      <w:spacing w:before="0" w:after="24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spacing w:before="0" w:after="240"/>
      <w:jc w:val="center"/>
    </w:pPr>
    <w:rPr>
      <w:caps/>
    </w:rPr>
  </w:style>
  <w:style w:type="paragraph" w:styleId="BodyText">
    <w:name w:val="Body Text"/>
    <w:basedOn w:val="Normal"/>
    <w:pPr>
      <w:spacing w:lineRule="auto" w:line="480"/>
      <w:ind w:firstLine="1440" w:start="0" w:end="0"/>
    </w:pPr>
    <w:rPr/>
  </w:style>
  <w:style w:type="paragraph" w:styleId="List">
    <w:name w:val="List"/>
    <w:basedOn w:val="Normal"/>
    <w:pPr>
      <w:spacing w:before="0" w:after="240"/>
      <w:ind w:hanging="720" w:start="720" w:end="0"/>
    </w:pPr>
    <w:rPr/>
  </w:style>
  <w:style w:type="paragraph" w:styleId="Caption">
    <w:name w:val="caption"/>
    <w:basedOn w:val="Normal"/>
    <w:next w:val="Normal"/>
    <w:qFormat/>
    <w:pPr>
      <w:spacing w:before="120" w:after="120"/>
    </w:pPr>
    <w:rPr>
      <w:sz w:val="20"/>
    </w:rPr>
  </w:style>
  <w:style w:type="paragraph" w:styleId="Index">
    <w:name w:val="Index"/>
    <w:basedOn w:val="Normal"/>
    <w:qFormat/>
    <w:pPr>
      <w:suppressLineNumbers/>
    </w:pPr>
    <w:rPr>
      <w:rFonts w:cs="NotoSans NF"/>
    </w:rPr>
  </w:style>
  <w:style w:type="paragraph" w:styleId="SCTitle">
    <w:name w:val="S&amp;C Title"/>
    <w:basedOn w:val="Normal"/>
    <w:qFormat/>
    <w:pPr>
      <w:spacing w:before="0" w:after="360"/>
      <w:ind w:hanging="0" w:start="-963" w:end="0"/>
    </w:pPr>
    <w:rPr>
      <w:rFonts w:ascii="GarmdITC Bk BT" w:hAnsi="GarmdITC Bk BT" w:cs="GarmdITC Bk BT"/>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Date">
    <w:name w:val="Date"/>
    <w:basedOn w:val="Normal"/>
    <w:next w:val="Normal"/>
    <w:qFormat/>
    <w:pPr>
      <w:spacing w:before="240" w:after="480"/>
      <w:ind w:hanging="0" w:start="5760" w:end="0"/>
    </w:pPr>
    <w:rPr/>
  </w:style>
  <w:style w:type="paragraph" w:styleId="To">
    <w:name w:val="To"/>
    <w:basedOn w:val="Normal"/>
    <w:qFormat/>
    <w:pPr>
      <w:spacing w:before="0" w:after="240"/>
    </w:pPr>
    <w:rPr/>
  </w:style>
  <w:style w:type="paragraph" w:styleId="Company">
    <w:name w:val="Company"/>
    <w:basedOn w:val="Normal"/>
    <w:qFormat/>
    <w:pPr>
      <w:spacing w:before="0" w:after="240"/>
    </w:pPr>
    <w:rPr/>
  </w:style>
  <w:style w:type="paragraph" w:styleId="From">
    <w:name w:val="From"/>
    <w:basedOn w:val="Normal"/>
    <w:qFormat/>
    <w:pPr/>
    <w:rPr/>
  </w:style>
  <w:style w:type="paragraph" w:styleId="Subject">
    <w:name w:val="Subject"/>
    <w:basedOn w:val="Normal"/>
    <w:qFormat/>
    <w:pPr/>
    <w:rPr/>
  </w:style>
  <w:style w:type="paragraph" w:styleId="Initials">
    <w:name w:val="Initials"/>
    <w:basedOn w:val="Normal"/>
    <w:qFormat/>
    <w:pPr>
      <w:spacing w:before="0" w:after="240"/>
      <w:ind w:hanging="0" w:start="5760" w:end="0"/>
    </w:pPr>
    <w:rPr/>
  </w:style>
  <w:style w:type="paragraph" w:styleId="cc">
    <w:name w:val="cc"/>
    <w:basedOn w:val="Normal"/>
    <w:qFormat/>
    <w:pPr>
      <w:spacing w:before="0" w:after="240"/>
      <w:ind w:hanging="720" w:start="720" w:end="0"/>
    </w:pPr>
    <w:rPr/>
  </w:style>
  <w:style w:type="paragraph" w:styleId="bcc">
    <w:name w:val="bcc"/>
    <w:basedOn w:val="Normal"/>
    <w:qFormat/>
    <w:pPr>
      <w:spacing w:before="0" w:after="240"/>
      <w:ind w:hanging="720" w:start="720" w:end="0"/>
    </w:pPr>
    <w:rPr/>
  </w:style>
  <w:style w:type="paragraph" w:styleId="LeftColumn">
    <w:name w:val="LeftColumn"/>
    <w:basedOn w:val="Normal"/>
    <w:qFormat/>
    <w:pPr>
      <w:jc w:val="end"/>
    </w:pPr>
    <w:rPr/>
  </w:style>
  <w:style w:type="paragraph" w:styleId="Attachments">
    <w:name w:val="Attachments"/>
    <w:basedOn w:val="Normal"/>
    <w:qFormat/>
    <w:pPr/>
    <w:rPr/>
  </w:style>
  <w:style w:type="paragraph" w:styleId="DeliveryMethod">
    <w:name w:val="DeliveryMethod"/>
    <w:basedOn w:val="Normal"/>
    <w:qFormat/>
    <w:pPr>
      <w:spacing w:before="0" w:after="240"/>
    </w:pPr>
    <w:rPr>
      <w:u w:val="single"/>
    </w:rPr>
  </w:style>
  <w:style w:type="paragraph" w:styleId="DraftLine">
    <w:name w:val="DraftLine"/>
    <w:basedOn w:val="Normal"/>
    <w:qFormat/>
    <w:pPr>
      <w:jc w:val="end"/>
    </w:pPr>
    <w:rPr/>
  </w:style>
  <w:style w:type="paragraph" w:styleId="BlockText">
    <w:name w:val="Block Text"/>
    <w:basedOn w:val="Normal"/>
    <w:qFormat/>
    <w:pPr>
      <w:spacing w:before="0" w:after="240"/>
      <w:ind w:hanging="0" w:start="1440" w:end="1440"/>
    </w:pPr>
    <w:rPr/>
  </w:style>
  <w:style w:type="paragraph" w:styleId="BodyText2">
    <w:name w:val="Body Text 2"/>
    <w:basedOn w:val="Normal"/>
    <w:qFormat/>
    <w:pPr>
      <w:spacing w:before="0" w:after="240"/>
    </w:pPr>
    <w:rPr/>
  </w:style>
  <w:style w:type="paragraph" w:styleId="BodyText3">
    <w:name w:val="Body Text 3"/>
    <w:basedOn w:val="Normal"/>
    <w:qFormat/>
    <w:pPr>
      <w:spacing w:before="0" w:after="240"/>
      <w:ind w:firstLine="720" w:start="720" w:end="0"/>
    </w:pPr>
    <w:rPr/>
  </w:style>
  <w:style w:type="paragraph" w:styleId="BodyTextIndent">
    <w:name w:val="Body Text Indent"/>
    <w:basedOn w:val="Normal"/>
    <w:pPr>
      <w:spacing w:before="0" w:after="240"/>
      <w:ind w:hanging="0" w:start="720" w:end="0"/>
    </w:pPr>
    <w:rPr/>
  </w:style>
  <w:style w:type="paragraph" w:styleId="BodyTextFirstIndent2">
    <w:name w:val="Body Text First Indent 2"/>
    <w:basedOn w:val="Normal"/>
    <w:qFormat/>
    <w:pPr>
      <w:spacing w:before="0" w:after="240"/>
      <w:ind w:firstLine="720" w:start="0" w:end="0"/>
    </w:pPr>
    <w:rPr/>
  </w:style>
  <w:style w:type="paragraph" w:styleId="BodyTextFirstIndent">
    <w:name w:val="Body Text First Indent"/>
    <w:basedOn w:val="Normal"/>
    <w:qFormat/>
    <w:pPr>
      <w:spacing w:before="0" w:after="240"/>
      <w:ind w:firstLine="1440" w:start="0" w:end="0"/>
    </w:pPr>
    <w:rPr/>
  </w:style>
  <w:style w:type="paragraph" w:styleId="BodyTextIndent2">
    <w:name w:val="Body Text Indent 2"/>
    <w:basedOn w:val="Normal"/>
    <w:qFormat/>
    <w:pPr>
      <w:spacing w:before="0" w:after="240"/>
      <w:ind w:hanging="0" w:start="720" w:end="0"/>
    </w:pPr>
    <w:rPr/>
  </w:style>
  <w:style w:type="paragraph" w:styleId="BodyTextIndent3">
    <w:name w:val="Body Text Indent 3"/>
    <w:basedOn w:val="Normal"/>
    <w:qFormat/>
    <w:pPr>
      <w:spacing w:before="0" w:after="240"/>
      <w:ind w:hanging="0" w:start="720" w:end="0"/>
    </w:pPr>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ocumentMap">
    <w:name w:val="Document Map"/>
    <w:basedOn w:val="Normal"/>
    <w:qFormat/>
    <w:pPr>
      <w:shd w:fill="000080" w:val="clear"/>
      <w:jc w:val="both"/>
    </w:pPr>
    <w:rPr>
      <w:rFonts w:ascii="Tahoma" w:hAnsi="Tahoma" w:cs="Tahoma"/>
      <w:sz w:val="20"/>
    </w:rPr>
  </w:style>
  <w:style w:type="paragraph" w:styleId="Draft">
    <w:name w:val="Draft"/>
    <w:basedOn w:val="Normal"/>
    <w:qFormat/>
    <w:pPr>
      <w:jc w:val="end"/>
    </w:pPr>
    <w:rPr/>
  </w:style>
  <w:style w:type="paragraph" w:styleId="EndnoteText">
    <w:name w:val="endnote text"/>
    <w:basedOn w:val="Normal"/>
    <w:pPr/>
    <w:rPr>
      <w:sz w:val="20"/>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Index1">
    <w:name w:val="index 1"/>
    <w:basedOn w:val="Normal"/>
    <w:pPr>
      <w:spacing w:before="0" w:after="240"/>
      <w:ind w:hanging="720" w:start="720" w:end="0"/>
    </w:pPr>
    <w:rPr/>
  </w:style>
  <w:style w:type="paragraph" w:styleId="Index2">
    <w:name w:val="index 2"/>
    <w:basedOn w:val="Normal"/>
    <w:pPr>
      <w:spacing w:before="0" w:after="240"/>
      <w:ind w:hanging="720" w:start="1440" w:end="0"/>
    </w:pPr>
    <w:rPr/>
  </w:style>
  <w:style w:type="paragraph" w:styleId="Index3">
    <w:name w:val="index 3"/>
    <w:basedOn w:val="Normal"/>
    <w:pPr>
      <w:spacing w:before="0" w:after="240"/>
      <w:ind w:hanging="720" w:start="2160" w:end="0"/>
    </w:pPr>
    <w:rPr/>
  </w:style>
  <w:style w:type="paragraph" w:styleId="Index4">
    <w:name w:val="Index 4"/>
    <w:basedOn w:val="Normal"/>
    <w:qFormat/>
    <w:pPr>
      <w:spacing w:before="0" w:after="240"/>
      <w:ind w:hanging="720" w:start="2880" w:end="0"/>
    </w:pPr>
    <w:rPr/>
  </w:style>
  <w:style w:type="paragraph" w:styleId="Index5">
    <w:name w:val="Index 5"/>
    <w:basedOn w:val="Normal"/>
    <w:qFormat/>
    <w:pPr>
      <w:spacing w:before="0" w:after="240"/>
      <w:ind w:hanging="720" w:start="3600" w:end="0"/>
    </w:pPr>
    <w:rPr/>
  </w:style>
  <w:style w:type="paragraph" w:styleId="Index6">
    <w:name w:val="Index 6"/>
    <w:basedOn w:val="Normal"/>
    <w:qFormat/>
    <w:pPr>
      <w:spacing w:before="0" w:after="240"/>
      <w:ind w:hanging="720" w:start="3600" w:end="0"/>
    </w:pPr>
    <w:rPr/>
  </w:style>
  <w:style w:type="paragraph" w:styleId="Index7">
    <w:name w:val="Index 7"/>
    <w:basedOn w:val="Normal"/>
    <w:qFormat/>
    <w:pPr>
      <w:spacing w:before="0" w:after="240"/>
      <w:ind w:hanging="720" w:start="4320" w:end="0"/>
    </w:pPr>
    <w:rPr/>
  </w:style>
  <w:style w:type="paragraph" w:styleId="Index8">
    <w:name w:val="Index 8"/>
    <w:basedOn w:val="Normal"/>
    <w:qFormat/>
    <w:pPr>
      <w:spacing w:before="0" w:after="240"/>
      <w:ind w:hanging="720" w:start="5040" w:end="0"/>
    </w:pPr>
    <w:rPr/>
  </w:style>
  <w:style w:type="paragraph" w:styleId="Index9">
    <w:name w:val="Index 9"/>
    <w:basedOn w:val="Normal"/>
    <w:qFormat/>
    <w:pPr>
      <w:spacing w:before="0" w:after="240"/>
      <w:ind w:hanging="720" w:start="5760" w:end="0"/>
    </w:pPr>
    <w:rPr/>
  </w:style>
  <w:style w:type="paragraph" w:styleId="IndexHeading">
    <w:name w:val="index heading"/>
    <w:basedOn w:val="Normal"/>
    <w:next w:val="Index1"/>
    <w:pPr>
      <w:spacing w:before="0" w:after="240"/>
    </w:pPr>
    <w:rPr/>
  </w:style>
  <w:style w:type="paragraph" w:styleId="ListBullet2">
    <w:name w:val="List Bullet 2"/>
    <w:basedOn w:val="List"/>
    <w:pPr>
      <w:spacing w:before="0" w:after="120"/>
      <w:ind w:hanging="360" w:start="720"/>
    </w:pPr>
    <w:rPr/>
  </w:style>
  <w:style w:type="paragraph" w:styleId="WW-List2">
    <w:name w:val="WW-List 2"/>
    <w:basedOn w:val="Normal"/>
    <w:qFormat/>
    <w:pPr>
      <w:spacing w:before="0" w:after="240"/>
      <w:ind w:hanging="720" w:start="1440" w:end="0"/>
    </w:pPr>
    <w:rPr/>
  </w:style>
  <w:style w:type="paragraph" w:styleId="ListBullet3">
    <w:name w:val="List Bullet 3"/>
    <w:basedOn w:val="List"/>
    <w:pPr>
      <w:spacing w:before="0" w:after="120"/>
      <w:ind w:hanging="360" w:start="1080"/>
    </w:pPr>
    <w:rPr/>
  </w:style>
  <w:style w:type="paragraph" w:styleId="WW-List3">
    <w:name w:val="WW-List 3"/>
    <w:basedOn w:val="Normal"/>
    <w:qFormat/>
    <w:pPr>
      <w:spacing w:before="0" w:after="240"/>
      <w:ind w:hanging="720" w:start="2160" w:end="0"/>
    </w:pPr>
    <w:rPr/>
  </w:style>
  <w:style w:type="paragraph" w:styleId="ListBullet4">
    <w:name w:val="List Bullet 4"/>
    <w:basedOn w:val="List"/>
    <w:pPr>
      <w:spacing w:before="0" w:after="120"/>
      <w:ind w:hanging="360" w:start="1440"/>
    </w:pPr>
    <w:rPr/>
  </w:style>
  <w:style w:type="paragraph" w:styleId="WW-List4">
    <w:name w:val="WW-List 4"/>
    <w:basedOn w:val="Normal"/>
    <w:qFormat/>
    <w:pPr>
      <w:spacing w:before="0" w:after="240"/>
      <w:ind w:hanging="720" w:start="2880" w:end="0"/>
    </w:pPr>
    <w:rPr/>
  </w:style>
  <w:style w:type="paragraph" w:styleId="ListBullet5">
    <w:name w:val="List Bullet 5"/>
    <w:basedOn w:val="List"/>
    <w:pPr>
      <w:spacing w:before="0" w:after="120"/>
      <w:ind w:hanging="360" w:start="1800"/>
    </w:pPr>
    <w:rPr/>
  </w:style>
  <w:style w:type="paragraph" w:styleId="WW-List5">
    <w:name w:val="WW-List 5"/>
    <w:basedOn w:val="Normal"/>
    <w:qFormat/>
    <w:pPr>
      <w:spacing w:before="0" w:after="240"/>
      <w:ind w:hanging="720" w:start="3600" w:end="0"/>
    </w:pPr>
    <w:rPr/>
  </w:style>
  <w:style w:type="paragraph" w:styleId="ListBullet21">
    <w:name w:val="List Bullet 21"/>
    <w:basedOn w:val="Normal"/>
    <w:qFormat/>
    <w:pPr>
      <w:numPr>
        <w:ilvl w:val="0"/>
        <w:numId w:val="9"/>
      </w:numPr>
      <w:tabs>
        <w:tab w:val="clear" w:pos="720"/>
        <w:tab w:val="left" w:pos="1440" w:leader="none"/>
      </w:tabs>
      <w:spacing w:before="0" w:after="240"/>
      <w:ind w:hanging="720" w:start="1440" w:end="0"/>
    </w:pPr>
    <w:rPr/>
  </w:style>
  <w:style w:type="paragraph" w:styleId="ListBullet31">
    <w:name w:val="List Bullet 31"/>
    <w:basedOn w:val="Normal"/>
    <w:qFormat/>
    <w:pPr>
      <w:numPr>
        <w:ilvl w:val="0"/>
        <w:numId w:val="8"/>
      </w:numPr>
      <w:tabs>
        <w:tab w:val="clear" w:pos="720"/>
        <w:tab w:val="left" w:pos="2160" w:leader="none"/>
      </w:tabs>
      <w:spacing w:before="0" w:after="240"/>
      <w:ind w:hanging="720" w:start="2160" w:end="0"/>
    </w:pPr>
    <w:rPr/>
  </w:style>
  <w:style w:type="paragraph" w:styleId="ListBullet41">
    <w:name w:val="List Bullet 41"/>
    <w:basedOn w:val="Normal"/>
    <w:qFormat/>
    <w:pPr>
      <w:numPr>
        <w:ilvl w:val="0"/>
        <w:numId w:val="7"/>
      </w:numPr>
      <w:tabs>
        <w:tab w:val="clear" w:pos="720"/>
        <w:tab w:val="left" w:pos="2880" w:leader="none"/>
      </w:tabs>
      <w:spacing w:before="0" w:after="240"/>
      <w:ind w:hanging="720" w:start="2880" w:end="0"/>
    </w:pPr>
    <w:rPr/>
  </w:style>
  <w:style w:type="paragraph" w:styleId="ListBullet51">
    <w:name w:val="List Bullet 51"/>
    <w:basedOn w:val="Normal"/>
    <w:qFormat/>
    <w:pPr>
      <w:numPr>
        <w:ilvl w:val="0"/>
        <w:numId w:val="6"/>
      </w:numPr>
      <w:tabs>
        <w:tab w:val="clear" w:pos="720"/>
        <w:tab w:val="left" w:pos="3600" w:leader="none"/>
      </w:tabs>
      <w:spacing w:before="0" w:after="240"/>
      <w:ind w:hanging="720" w:start="3600" w:end="0"/>
    </w:pPr>
    <w:rPr/>
  </w:style>
  <w:style w:type="paragraph" w:styleId="ListBullet">
    <w:name w:val="List Bullet"/>
    <w:basedOn w:val="Normal"/>
    <w:qFormat/>
    <w:pPr>
      <w:numPr>
        <w:ilvl w:val="0"/>
        <w:numId w:val="11"/>
      </w:numPr>
      <w:tabs>
        <w:tab w:val="clear" w:pos="720"/>
      </w:tabs>
      <w:spacing w:before="0" w:after="240"/>
      <w:ind w:hanging="720" w:start="720" w:end="0"/>
    </w:pPr>
    <w:rPr/>
  </w:style>
  <w:style w:type="paragraph" w:styleId="ListContinue2">
    <w:name w:val="List Continue 2"/>
    <w:basedOn w:val="Normal"/>
    <w:qFormat/>
    <w:pPr>
      <w:spacing w:before="0" w:after="240"/>
      <w:ind w:hanging="0" w:start="720" w:end="0"/>
    </w:pPr>
    <w:rPr/>
  </w:style>
  <w:style w:type="paragraph" w:styleId="ListContinue3">
    <w:name w:val="List Continue 3"/>
    <w:basedOn w:val="Normal"/>
    <w:qFormat/>
    <w:pPr>
      <w:spacing w:before="0" w:after="240"/>
      <w:ind w:hanging="0" w:start="1440" w:end="0"/>
    </w:pPr>
    <w:rPr/>
  </w:style>
  <w:style w:type="paragraph" w:styleId="ListContinue4">
    <w:name w:val="List Continue 4"/>
    <w:basedOn w:val="Normal"/>
    <w:qFormat/>
    <w:pPr>
      <w:spacing w:before="0" w:after="240"/>
      <w:ind w:hanging="0" w:start="2160" w:end="0"/>
    </w:pPr>
    <w:rPr/>
  </w:style>
  <w:style w:type="paragraph" w:styleId="ListContinue5">
    <w:name w:val="List Continue 5"/>
    <w:basedOn w:val="Normal"/>
    <w:qFormat/>
    <w:pPr>
      <w:spacing w:before="0" w:after="240"/>
      <w:ind w:hanging="0" w:start="2880" w:end="0"/>
    </w:pPr>
    <w:rPr/>
  </w:style>
  <w:style w:type="paragraph" w:styleId="ListContinue">
    <w:name w:val="List Continue"/>
    <w:basedOn w:val="Normal"/>
    <w:qFormat/>
    <w:pPr>
      <w:spacing w:before="0" w:after="240"/>
    </w:pPr>
    <w:rPr/>
  </w:style>
  <w:style w:type="paragraph" w:styleId="ListNumber2">
    <w:name w:val="List Number 2"/>
    <w:basedOn w:val="Normal"/>
    <w:qFormat/>
    <w:pPr>
      <w:numPr>
        <w:ilvl w:val="0"/>
        <w:numId w:val="5"/>
      </w:numPr>
      <w:tabs>
        <w:tab w:val="clear" w:pos="720"/>
        <w:tab w:val="left" w:pos="1440" w:leader="none"/>
      </w:tabs>
      <w:spacing w:before="0" w:after="240"/>
      <w:ind w:hanging="720" w:start="1440" w:end="0"/>
    </w:pPr>
    <w:rPr/>
  </w:style>
  <w:style w:type="paragraph" w:styleId="ListNumber3">
    <w:name w:val="List Number 3"/>
    <w:basedOn w:val="Normal"/>
    <w:qFormat/>
    <w:pPr>
      <w:numPr>
        <w:ilvl w:val="0"/>
        <w:numId w:val="4"/>
      </w:numPr>
      <w:tabs>
        <w:tab w:val="clear" w:pos="720"/>
        <w:tab w:val="left" w:pos="2160" w:leader="none"/>
      </w:tabs>
      <w:spacing w:before="0" w:after="240"/>
      <w:ind w:hanging="720" w:start="2160" w:end="0"/>
    </w:pPr>
    <w:rPr/>
  </w:style>
  <w:style w:type="paragraph" w:styleId="ListNumber4">
    <w:name w:val="List Number 4"/>
    <w:basedOn w:val="Normal"/>
    <w:qFormat/>
    <w:pPr>
      <w:numPr>
        <w:ilvl w:val="0"/>
        <w:numId w:val="3"/>
      </w:numPr>
      <w:tabs>
        <w:tab w:val="clear" w:pos="720"/>
        <w:tab w:val="left" w:pos="2880" w:leader="none"/>
      </w:tabs>
      <w:spacing w:before="0" w:after="240"/>
      <w:ind w:hanging="720" w:start="2880" w:end="0"/>
    </w:pPr>
    <w:rPr/>
  </w:style>
  <w:style w:type="paragraph" w:styleId="ListNumber5">
    <w:name w:val="List Number 5"/>
    <w:basedOn w:val="Normal"/>
    <w:qFormat/>
    <w:pPr>
      <w:numPr>
        <w:ilvl w:val="0"/>
        <w:numId w:val="2"/>
      </w:numPr>
      <w:tabs>
        <w:tab w:val="clear" w:pos="720"/>
        <w:tab w:val="left" w:pos="3600" w:leader="none"/>
      </w:tabs>
      <w:spacing w:before="0" w:after="240"/>
      <w:ind w:hanging="720" w:start="3600" w:end="0"/>
    </w:pPr>
    <w:rPr/>
  </w:style>
  <w:style w:type="paragraph" w:styleId="ListNumber">
    <w:name w:val="List Number"/>
    <w:basedOn w:val="Normal"/>
    <w:qFormat/>
    <w:pPr>
      <w:numPr>
        <w:ilvl w:val="0"/>
        <w:numId w:val="10"/>
      </w:numPr>
      <w:tabs>
        <w:tab w:val="left" w:pos="720" w:leader="none"/>
      </w:tabs>
      <w:spacing w:before="0" w:after="240"/>
      <w:ind w:hanging="720" w:start="7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jc w:val="both"/>
    </w:pPr>
    <w:rPr>
      <w:rFonts w:ascii="Arial" w:hAnsi="Arial" w:cs="Arial"/>
      <w:sz w:val="20"/>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240"/>
      <w:jc w:val="center"/>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ableText">
    <w:name w:val="Table Text"/>
    <w:basedOn w:val="Normal"/>
    <w:qFormat/>
    <w:pPr/>
    <w:rPr/>
  </w:style>
  <w:style w:type="paragraph" w:styleId="TOAHeading">
    <w:name w:val="TOA Heading"/>
    <w:basedOn w:val="Normal"/>
    <w:next w:val="Normal"/>
    <w:qFormat/>
    <w:pPr>
      <w:spacing w:before="0" w:after="240"/>
    </w:pPr>
    <w:rPr>
      <w:b/>
    </w:rPr>
  </w:style>
  <w:style w:type="paragraph" w:styleId="TOC1">
    <w:name w:val="toc 1"/>
    <w:basedOn w:val="Normal"/>
    <w:next w:val="Normal"/>
    <w:pPr>
      <w:tabs>
        <w:tab w:val="clear" w:pos="720"/>
        <w:tab w:val="right" w:pos="4147" w:leader="dot"/>
      </w:tabs>
      <w:ind w:hanging="0" w:start="0" w:end="432"/>
    </w:pPr>
    <w:rPr/>
  </w:style>
  <w:style w:type="paragraph" w:styleId="TOC2">
    <w:name w:val="toc 2"/>
    <w:basedOn w:val="Normal"/>
    <w:next w:val="Normal"/>
    <w:pPr>
      <w:tabs>
        <w:tab w:val="left" w:pos="720" w:leader="none"/>
        <w:tab w:val="left" w:pos="1440" w:leader="none"/>
        <w:tab w:val="right" w:pos="8640" w:leader="dot"/>
      </w:tabs>
      <w:ind w:hanging="0" w:start="720" w:end="720"/>
    </w:pPr>
    <w:rPr>
      <w:color w:val="000000"/>
    </w:rPr>
  </w:style>
  <w:style w:type="paragraph" w:styleId="TOC3">
    <w:name w:val="toc 3"/>
    <w:basedOn w:val="Normal"/>
    <w:next w:val="Normal"/>
    <w:pPr>
      <w:ind w:hanging="0" w:start="1440" w:end="0"/>
    </w:pPr>
    <w:rPr/>
  </w:style>
  <w:style w:type="paragraph" w:styleId="TOC4">
    <w:name w:val="toc 4"/>
    <w:basedOn w:val="Normal"/>
    <w:next w:val="Normal"/>
    <w:pPr>
      <w:ind w:hanging="0" w:start="2160" w:end="0"/>
    </w:pPr>
    <w:rPr/>
  </w:style>
  <w:style w:type="paragraph" w:styleId="TOC5">
    <w:name w:val="toc 5"/>
    <w:basedOn w:val="Normal"/>
    <w:next w:val="Normal"/>
    <w:pPr>
      <w:ind w:hanging="0" w:start="2880" w:end="0"/>
    </w:pPr>
    <w:rPr/>
  </w:style>
  <w:style w:type="paragraph" w:styleId="TOC6">
    <w:name w:val="toc 6"/>
    <w:basedOn w:val="Normal"/>
    <w:next w:val="Normal"/>
    <w:pPr>
      <w:ind w:hanging="0" w:start="3600" w:end="0"/>
    </w:pPr>
    <w:rPr/>
  </w:style>
  <w:style w:type="paragraph" w:styleId="TOC7">
    <w:name w:val="toc 7"/>
    <w:basedOn w:val="Normal"/>
    <w:next w:val="Normal"/>
    <w:pPr>
      <w:ind w:hanging="0" w:start="4320" w:end="0"/>
    </w:pPr>
    <w:rPr/>
  </w:style>
  <w:style w:type="paragraph" w:styleId="TOC8">
    <w:name w:val="toc 8"/>
    <w:basedOn w:val="Normal"/>
    <w:next w:val="Normal"/>
    <w:pPr>
      <w:ind w:hanging="0" w:start="5040" w:end="0"/>
    </w:pPr>
    <w:rPr/>
  </w:style>
  <w:style w:type="paragraph" w:styleId="TOC9">
    <w:name w:val="toc 9"/>
    <w:basedOn w:val="Normal"/>
    <w:next w:val="Normal"/>
    <w:pPr>
      <w:ind w:hanging="0" w:start="5760" w:end="0"/>
    </w:pPr>
    <w:rPr/>
  </w:style>
  <w:style w:type="paragraph" w:styleId="Divider">
    <w:name w:val="Divider"/>
    <w:basedOn w:val="Normal"/>
    <w:qFormat/>
    <w:pPr/>
    <w:rPr>
      <w:sz w:val="16"/>
    </w:rPr>
  </w:style>
  <w:style w:type="paragraph" w:styleId="SCFileStamp">
    <w:name w:val="S&amp;CFileStamp"/>
    <w:basedOn w:val="Normal"/>
    <w:qFormat/>
    <w:pPr>
      <w:jc w:val="end"/>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S&amp;C Memo</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2001-03-14T15:11:00Z</dcterms:created>
  <dc:creator>For Help Call PC Support, x 4277</dc:creator>
  <dc:description/>
  <dc:language>en-CA</dc:language>
  <cp:lastModifiedBy>For Help Call PC Support, x 4277</cp:lastModifiedBy>
  <cp:lastPrinted>2001-03-13T12:25:00Z</cp:lastPrinted>
  <dcterms:modified xsi:type="dcterms:W3CDTF">2001-03-14T15:11:00Z</dcterms:modified>
  <cp:revision>2</cp:revision>
  <dc:subject/>
  <dc:title>SULLIVAN &amp; CROMWELL</dc:title>
</cp:coreProperties>
</file>